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黑体"/>
          <w:b/>
          <w:color w:val="auto"/>
          <w:sz w:val="36"/>
        </w:rPr>
      </w:pPr>
      <w:r>
        <w:rPr>
          <w:rFonts w:hint="eastAsia" w:eastAsia="黑体"/>
          <w:b/>
          <w:color w:val="auto"/>
          <w:sz w:val="28"/>
        </w:rPr>
        <w:drawing>
          <wp:inline distT="0" distB="0" distL="114300" distR="114300">
            <wp:extent cx="533400" cy="514350"/>
            <wp:effectExtent l="19050" t="0" r="0" b="0"/>
            <wp:docPr id="2" name="Picture 2" descr="三方诚信标志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三方诚信标志01"/>
                    <pic:cNvPicPr>
                      <a:picLocks noChangeAspect="1" noChangeArrowheads="1"/>
                    </pic:cNvPicPr>
                  </pic:nvPicPr>
                  <pic:blipFill>
                    <a:blip r:embed="rId7" cstate="print"/>
                    <a:srcRect/>
                    <a:stretch>
                      <a:fillRect/>
                    </a:stretch>
                  </pic:blipFill>
                  <pic:spPr>
                    <a:xfrm>
                      <a:off x="0" y="0"/>
                      <a:ext cx="533400" cy="514350"/>
                    </a:xfrm>
                    <a:prstGeom prst="rect">
                      <a:avLst/>
                    </a:prstGeom>
                    <a:noFill/>
                    <a:ln w="9525">
                      <a:noFill/>
                      <a:miter lim="800000"/>
                      <a:headEnd/>
                      <a:tailEnd/>
                    </a:ln>
                  </pic:spPr>
                </pic:pic>
              </a:graphicData>
            </a:graphic>
          </wp:inline>
        </w:drawing>
      </w:r>
    </w:p>
    <w:p>
      <w:pPr>
        <w:jc w:val="right"/>
        <w:rPr>
          <w:rFonts w:eastAsia="黑体"/>
          <w:b/>
          <w:color w:val="auto"/>
          <w:sz w:val="36"/>
        </w:rPr>
      </w:pPr>
    </w:p>
    <w:p>
      <w:pPr>
        <w:rPr>
          <w:color w:val="auto"/>
        </w:rPr>
      </w:pPr>
    </w:p>
    <w:p>
      <w:pPr>
        <w:rPr>
          <w:color w:val="auto"/>
        </w:rPr>
      </w:pPr>
    </w:p>
    <w:p>
      <w:pPr>
        <w:rPr>
          <w:color w:val="auto"/>
        </w:rPr>
      </w:pPr>
    </w:p>
    <w:p>
      <w:pPr>
        <w:jc w:val="center"/>
        <w:rPr>
          <w:rFonts w:ascii="黑体" w:eastAsia="黑体"/>
          <w:b/>
          <w:color w:val="auto"/>
          <w:sz w:val="72"/>
          <w:szCs w:val="32"/>
        </w:rPr>
      </w:pPr>
      <w:r>
        <w:rPr>
          <w:rFonts w:hint="eastAsia" w:ascii="黑体" w:eastAsia="黑体"/>
          <w:b/>
          <w:color w:val="auto"/>
          <w:sz w:val="72"/>
          <w:szCs w:val="32"/>
        </w:rPr>
        <w:t>东莞市政府采购</w:t>
      </w:r>
    </w:p>
    <w:p>
      <w:pPr>
        <w:jc w:val="center"/>
        <w:rPr>
          <w:b/>
          <w:color w:val="auto"/>
          <w:sz w:val="72"/>
          <w:szCs w:val="32"/>
        </w:rPr>
      </w:pPr>
      <w:r>
        <w:rPr>
          <w:rFonts w:hint="eastAsia" w:ascii="黑体" w:eastAsia="黑体"/>
          <w:b/>
          <w:color w:val="auto"/>
          <w:sz w:val="72"/>
          <w:szCs w:val="32"/>
        </w:rPr>
        <w:t>公开招标文件</w:t>
      </w:r>
    </w:p>
    <w:p>
      <w:pPr>
        <w:jc w:val="center"/>
        <w:rPr>
          <w:color w:val="auto"/>
        </w:rPr>
      </w:pPr>
    </w:p>
    <w:p>
      <w:pPr>
        <w:jc w:val="center"/>
        <w:rPr>
          <w:color w:val="auto"/>
        </w:rPr>
      </w:pPr>
    </w:p>
    <w:p>
      <w:pPr>
        <w:rPr>
          <w:color w:val="auto"/>
        </w:rPr>
      </w:pPr>
    </w:p>
    <w:tbl>
      <w:tblPr>
        <w:tblStyle w:val="17"/>
        <w:tblW w:w="0" w:type="auto"/>
        <w:tblInd w:w="-2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13"/>
        <w:gridCol w:w="62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7"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lang w:eastAsia="zh-CN"/>
              </w:rPr>
            </w:pPr>
            <w:r>
              <w:rPr>
                <w:rFonts w:hint="eastAsia" w:ascii="黑体" w:hAnsi="黑体" w:eastAsia="黑体" w:cs="黑体"/>
                <w:bCs/>
                <w:sz w:val="32"/>
                <w:szCs w:val="24"/>
                <w:vertAlign w:val="baseline"/>
                <w:lang w:eastAsia="zh-CN"/>
              </w:rPr>
              <w:t>项目名称：</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rPr>
            </w:pPr>
            <w:r>
              <w:rPr>
                <w:rFonts w:hint="eastAsia" w:ascii="黑体" w:hAnsi="黑体" w:eastAsia="黑体" w:cs="黑体"/>
                <w:bCs/>
                <w:sz w:val="32"/>
                <w:szCs w:val="24"/>
                <w:vertAlign w:val="baseline"/>
              </w:rPr>
              <w:t>2019-2020年度民政资金审计监督项目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lang w:eastAsia="zh-CN"/>
              </w:rPr>
            </w:pPr>
            <w:r>
              <w:rPr>
                <w:rFonts w:hint="eastAsia" w:ascii="黑体" w:hAnsi="黑体" w:eastAsia="黑体" w:cs="黑体"/>
                <w:bCs/>
                <w:sz w:val="32"/>
                <w:szCs w:val="24"/>
                <w:vertAlign w:val="baseline"/>
                <w:lang w:eastAsia="zh-CN"/>
              </w:rPr>
              <w:t>项目采购编号：</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rPr>
            </w:pPr>
            <w:r>
              <w:rPr>
                <w:rFonts w:hint="eastAsia" w:ascii="黑体" w:hAnsi="黑体" w:eastAsia="黑体" w:cs="黑体"/>
                <w:bCs/>
                <w:sz w:val="32"/>
                <w:szCs w:val="24"/>
                <w:vertAlign w:val="baseline"/>
              </w:rPr>
              <w:t>441900-202004-0006016001-0002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9" w:hRule="atLeast"/>
        </w:trPr>
        <w:tc>
          <w:tcPr>
            <w:tcW w:w="261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lang w:eastAsia="zh-CN"/>
              </w:rPr>
            </w:pPr>
            <w:r>
              <w:rPr>
                <w:rFonts w:hint="eastAsia" w:ascii="黑体" w:hAnsi="黑体" w:eastAsia="黑体" w:cs="黑体"/>
                <w:bCs/>
                <w:sz w:val="32"/>
                <w:szCs w:val="24"/>
                <w:vertAlign w:val="baseline"/>
                <w:lang w:eastAsia="zh-CN"/>
              </w:rPr>
              <w:t>采购人：</w:t>
            </w:r>
          </w:p>
        </w:tc>
        <w:tc>
          <w:tcPr>
            <w:tcW w:w="6203" w:type="dxa"/>
            <w:noWrap w:val="0"/>
            <w:vAlign w:val="center"/>
          </w:tcPr>
          <w:p>
            <w:pPr>
              <w:keepNext w:val="0"/>
              <w:keepLines w:val="0"/>
              <w:pageBreakBefore w:val="0"/>
              <w:widowControl/>
              <w:kinsoku/>
              <w:wordWrap/>
              <w:overflowPunct/>
              <w:topLinePunct w:val="0"/>
              <w:autoSpaceDE/>
              <w:autoSpaceDN/>
              <w:bidi w:val="0"/>
              <w:adjustRightInd w:val="0"/>
              <w:snapToGrid w:val="0"/>
              <w:spacing w:before="200" w:after="200" w:line="240" w:lineRule="auto"/>
              <w:jc w:val="both"/>
              <w:textAlignment w:val="auto"/>
              <w:rPr>
                <w:rFonts w:hint="eastAsia" w:ascii="黑体" w:hAnsi="黑体" w:eastAsia="黑体" w:cs="黑体"/>
                <w:bCs/>
                <w:sz w:val="32"/>
                <w:szCs w:val="24"/>
                <w:vertAlign w:val="baseline"/>
                <w:lang w:eastAsia="zh-CN"/>
              </w:rPr>
            </w:pPr>
            <w:r>
              <w:rPr>
                <w:rFonts w:hint="eastAsia" w:ascii="黑体" w:hAnsi="黑体" w:eastAsia="黑体" w:cs="黑体"/>
                <w:bCs/>
                <w:sz w:val="32"/>
                <w:szCs w:val="24"/>
                <w:vertAlign w:val="baseline"/>
                <w:lang w:eastAsia="zh-CN"/>
              </w:rPr>
              <w:t>东莞市民政局</w:t>
            </w:r>
          </w:p>
        </w:tc>
      </w:tr>
    </w:tbl>
    <w:p>
      <w:pPr>
        <w:jc w:val="center"/>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p>
    <w:p>
      <w:pPr>
        <w:jc w:val="center"/>
        <w:rPr>
          <w:rFonts w:ascii="黑体" w:eastAsia="黑体"/>
          <w:color w:val="auto"/>
          <w:szCs w:val="21"/>
        </w:rPr>
      </w:pPr>
    </w:p>
    <w:p>
      <w:pPr>
        <w:jc w:val="center"/>
        <w:rPr>
          <w:rFonts w:ascii="黑体" w:eastAsia="黑体"/>
          <w:color w:val="auto"/>
          <w:sz w:val="52"/>
          <w:szCs w:val="44"/>
        </w:rPr>
      </w:pPr>
      <w:r>
        <w:rPr>
          <w:rFonts w:hint="eastAsia" w:ascii="黑体" w:eastAsia="黑体"/>
          <w:color w:val="auto"/>
          <w:sz w:val="52"/>
          <w:szCs w:val="44"/>
        </w:rPr>
        <w:t>三方诚信招标有限公司</w:t>
      </w:r>
    </w:p>
    <w:p>
      <w:pPr>
        <w:jc w:val="center"/>
        <w:rPr>
          <w:rFonts w:ascii="黑体" w:eastAsia="黑体"/>
          <w:color w:val="auto"/>
          <w:sz w:val="52"/>
          <w:szCs w:val="44"/>
        </w:rPr>
      </w:pPr>
      <w:r>
        <w:rPr>
          <w:rFonts w:hint="eastAsia" w:ascii="黑体" w:eastAsia="黑体"/>
          <w:color w:val="auto"/>
          <w:sz w:val="52"/>
          <w:szCs w:val="44"/>
        </w:rPr>
        <w:t>东莞分公司</w:t>
      </w:r>
    </w:p>
    <w:p>
      <w:pPr>
        <w:pStyle w:val="14"/>
        <w:rPr>
          <w:color w:val="auto"/>
          <w:sz w:val="32"/>
          <w:szCs w:val="32"/>
        </w:rPr>
        <w:sectPr>
          <w:headerReference r:id="rId3" w:type="default"/>
          <w:pgSz w:w="11906" w:h="16838"/>
          <w:pgMar w:top="1440" w:right="1800" w:bottom="1440" w:left="1800" w:header="708" w:footer="708" w:gutter="0"/>
          <w:pgNumType w:start="0"/>
          <w:cols w:space="708" w:num="1"/>
          <w:titlePg/>
          <w:docGrid w:type="lines" w:linePitch="360" w:charSpace="0"/>
        </w:sectPr>
      </w:pPr>
    </w:p>
    <w:p>
      <w:pPr>
        <w:pStyle w:val="14"/>
        <w:rPr>
          <w:color w:val="auto"/>
          <w:sz w:val="40"/>
          <w:szCs w:val="40"/>
        </w:rPr>
      </w:pPr>
      <w:r>
        <w:rPr>
          <w:rFonts w:hint="eastAsia"/>
          <w:color w:val="auto"/>
          <w:sz w:val="40"/>
          <w:szCs w:val="40"/>
        </w:rPr>
        <w:t>目录</w:t>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TOC \o "1-4" \h \z \u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投标邀请书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_Toc14146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第二部分 相关资料表格</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_Toc14146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_Toc20683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附表一：投标资料表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_Toc9572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附表二：商务技术评分及价格权重表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_Toc9572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_Toc31854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第三部分 用户需求书</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_Toc31854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_Toc3968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用户需求明细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_Toc3968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第四部分 投标人须知</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_Toc19746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一、 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_Toc19746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_Toc18488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1.适用范围</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_Toc18488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_Toc13400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2.定义</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_Toc13400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_Toc3780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3.货物和服务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_Toc3780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_Toc15945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4.投标费用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_Toc15945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_Toc25040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5.知识产权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_Toc25040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_Toc21930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6.关于联合体投标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_Toc21930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_Toc16571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7.关于分支机构投标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_Toc16571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_Toc17879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二、 招标文件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_Toc17879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_Toc21771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8.招标文件的组成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_Toc21771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_Toc14217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9.招标文件的澄清或修改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_Toc14217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_Toc23726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三、 投标文件的编制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_Toc23726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_Toc20623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10.投标文件的语言及度量衡单位</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_Toc20623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_Toc12145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11.投标文件的组成</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_Toc12145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_Toc30189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12.投标文件编制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_Toc30189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13.投标报价说明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_Toc27724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14.投标人所提供的服务或货物的证明文件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_Toc27724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_Toc19520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15.投标有效期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_Toc19520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_Toc12456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16.投标保证金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_Toc12456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_Toc31124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四、 投标文件的递交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_Toc31124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_Toc29590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17.投标文件的装订，签署，密封和标记</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_Toc29590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_Toc8628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18.迟交的投标文件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_Toc8628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_Toc13212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19.投标样品（如需提交）</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_Toc13212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_Toc5900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20.投标截止期</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_Toc5900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_Toc6003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21.投标文件的补充、修改与撤回</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_Toc6003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_Toc29574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五、 开标与评标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_Toc29574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_Toc28458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22.开标</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_Toc28458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_Toc5524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23.评标委员会及评标方法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_Toc5524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_Toc15231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24.评审原则及评标过程的保密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_Toc15231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25.投标文件的初审</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_Toc3762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_Toc21742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26.商务、技术、价格评审（具体评审项目详见投标资料表）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_Toc21742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_Toc22192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27.优惠政策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_Toc22192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_Toc22591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28.纪律和保密事项</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_Toc22591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_Toc29310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六、 授予合同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_Toc29310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_Toc27817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29.合同授予标准</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_Toc27817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_Toc29283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30.发布采购结果</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_Toc29283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_Toc22451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31.合同的签订与履行</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_Toc22451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_Toc2744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32.履约保证金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_Toc2744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29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_Toc13694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七、询问或质疑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_Toc13694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_Toc25498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33.询问</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_Toc25498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_Toc8234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34.质疑</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_Toc8234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_Toc24383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八、其他</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_Toc24383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_Toc10082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35.招标文件的解释权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_Toc21448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第五部分 合同格式（仅供参考）</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_Toc21448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7"/>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_Toc16730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合同格式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_Toc16730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4"/>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_Toc23749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第六部分  附件－投标文件格式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_Toc23749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_Toc26830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附件1.投标文件目录</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_Toc26830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_Toc18893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附件1-1 评分标准索引表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_Toc18893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_Toc30640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附件2.投标书格式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_Toc30640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_Toc6866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附件3.开标一览表格式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_Toc6866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附件4.投标分项报价表格式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_Toc3254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39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_Toc16412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附件5.法定代表人证明书格式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_Toc16412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_Toc31205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附件6.法定代表人授权书格式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_Toc31205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_Toc17164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附件7.资格申明</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_Toc17164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_Toc27839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附件8.营业执照</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_Toc27839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_Toc26141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附件9.相关资质证明文件</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_Toc26141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_Toc17618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附件10.商务条款偏离表格式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_Toc17618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_Toc32183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附件11.技术规格偏离表格式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_Toc32183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48</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_Toc29613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附件12.重要技术参数（▲）响应表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_Toc29613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49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_Toc27674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附件13.业绩表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_Toc27674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50</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_Toc7860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附件14.项目实施方案格式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_Toc7860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51</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_Toc8596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附件15.实施本项目的有关人员资料表格式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_Toc8596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_Toc21598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附件16.投标货物说明一览表格式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_Toc21598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53</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_Toc10094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附件17.在经营活动中没有重大违法记录的书面声明格式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_Toc10094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54</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_Toc21223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附件18.中小企业声明函（投标人为中小企业时适用）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_Toc21223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_Toc28081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附件19.《残疾人福利性单位声明函》（残疾人福利性单位适用）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_Toc28081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_Toc25634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附件20.投标保证金汇入情况说明格式</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_Toc25634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57</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_Toc4363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附件21.政府采购投标担保函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_Toc4363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59</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_Toc27534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附件22.政府采购履约担保函</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_Toc27534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62</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_Toc17023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附件23.获取招标文件登记表</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_Toc17023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65</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\l _Toc11182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lang w:eastAsia="zh-CN"/>
        </w:rPr>
        <w:t>附件</w:t>
      </w:r>
      <w:r>
        <w:rPr>
          <w:rFonts w:hint="eastAsia" w:ascii="宋体" w:hAnsi="宋体" w:eastAsia="宋体" w:cs="宋体"/>
          <w:color w:val="auto"/>
          <w:sz w:val="21"/>
          <w:szCs w:val="21"/>
          <w:lang w:val="en-US" w:eastAsia="zh-CN"/>
        </w:rPr>
        <w:t>24.质疑函范本</w:t>
      </w:r>
      <w:r>
        <w:rPr>
          <w:rFonts w:hint="eastAsia" w:ascii="宋体" w:hAnsi="宋体" w:eastAsia="宋体" w:cs="宋体"/>
          <w:color w:val="auto"/>
          <w:sz w:val="21"/>
          <w:szCs w:val="21"/>
        </w:rPr>
        <w:tab/>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PAGEREF _Toc11182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66</w:t>
      </w:r>
      <w:r>
        <w:rPr>
          <w:rFonts w:hint="eastAsia" w:ascii="宋体" w:hAnsi="宋体" w:eastAsia="宋体" w:cs="宋体"/>
          <w:color w:val="auto"/>
          <w:sz w:val="21"/>
          <w:szCs w:val="21"/>
        </w:rPr>
        <w:fldChar w:fldCharType="end"/>
      </w:r>
      <w:r>
        <w:rPr>
          <w:rFonts w:hint="eastAsia" w:ascii="宋体" w:hAnsi="宋体" w:eastAsia="宋体" w:cs="宋体"/>
          <w:color w:val="auto"/>
          <w:sz w:val="21"/>
          <w:szCs w:val="21"/>
        </w:rPr>
        <w:fldChar w:fldCharType="end"/>
      </w:r>
    </w:p>
    <w:p>
      <w:pPr>
        <w:pStyle w:val="13"/>
        <w:keepNext w:val="0"/>
        <w:keepLines w:val="0"/>
        <w:pageBreakBefore w:val="0"/>
        <w:widowControl/>
        <w:tabs>
          <w:tab w:val="right" w:leader="dot" w:pos="8306"/>
          <w:tab w:val="clear" w:pos="8296"/>
        </w:tabs>
        <w:kinsoku/>
        <w:wordWrap/>
        <w:overflowPunct/>
        <w:topLinePunct w:val="0"/>
        <w:autoSpaceDE/>
        <w:autoSpaceDN/>
        <w:bidi w:val="0"/>
        <w:adjustRightInd w:val="0"/>
        <w:snapToGrid w:val="0"/>
        <w:spacing w:after="0" w:line="360" w:lineRule="auto"/>
        <w:ind w:left="0" w:leftChars="0"/>
        <w:jc w:val="both"/>
        <w:textAlignment w:val="auto"/>
        <w:rPr>
          <w:rFonts w:cs="宋体"/>
          <w:color w:val="auto"/>
          <w:szCs w:val="21"/>
        </w:rPr>
      </w:pPr>
      <w:r>
        <w:rPr>
          <w:rFonts w:hint="eastAsia" w:ascii="宋体" w:hAnsi="宋体" w:eastAsia="宋体" w:cs="宋体"/>
          <w:color w:val="auto"/>
          <w:sz w:val="21"/>
          <w:szCs w:val="21"/>
        </w:rPr>
        <w:fldChar w:fldCharType="end"/>
      </w:r>
    </w:p>
    <w:p>
      <w:pPr>
        <w:rPr>
          <w:rFonts w:ascii="宋体" w:hAnsi="宋体" w:eastAsia="宋体" w:cs="宋体"/>
          <w:color w:val="auto"/>
          <w:szCs w:val="21"/>
        </w:rPr>
      </w:pPr>
      <w:r>
        <w:rPr>
          <w:rFonts w:hint="eastAsia" w:ascii="宋体" w:hAnsi="宋体" w:eastAsia="宋体" w:cs="宋体"/>
          <w:color w:val="auto"/>
          <w:szCs w:val="21"/>
        </w:rPr>
        <w:br w:type="page"/>
      </w:r>
    </w:p>
    <w:p>
      <w:pPr>
        <w:pStyle w:val="2"/>
        <w:spacing w:before="0" w:after="0" w:line="240" w:lineRule="auto"/>
        <w:rPr>
          <w:rFonts w:asciiTheme="majorHAnsi" w:hAnsiTheme="majorHAnsi" w:eastAsiaTheme="majorEastAsia" w:cstheme="majorBidi"/>
          <w:b/>
          <w:bCs/>
          <w:color w:val="auto"/>
          <w:sz w:val="28"/>
          <w:szCs w:val="28"/>
        </w:rPr>
      </w:pPr>
      <w:r>
        <w:rPr>
          <w:rFonts w:hint="eastAsia" w:asciiTheme="majorHAnsi" w:hAnsiTheme="majorHAnsi" w:eastAsiaTheme="majorEastAsia" w:cstheme="majorBidi"/>
          <w:b/>
          <w:bCs/>
          <w:color w:val="auto"/>
          <w:sz w:val="28"/>
          <w:szCs w:val="28"/>
        </w:rPr>
        <w:t>第一部分 投标邀请</w:t>
      </w:r>
    </w:p>
    <w:p>
      <w:pPr>
        <w:pStyle w:val="3"/>
        <w:spacing w:before="0" w:after="0" w:line="360" w:lineRule="auto"/>
        <w:jc w:val="center"/>
        <w:rPr>
          <w:rFonts w:ascii="宋体" w:hAnsi="宋体" w:eastAsia="宋体" w:cs="宋体"/>
          <w:color w:val="auto"/>
        </w:rPr>
      </w:pPr>
      <w:bookmarkStart w:id="0" w:name="_Toc1420"/>
      <w:bookmarkStart w:id="222" w:name="_GoBack"/>
      <w:bookmarkEnd w:id="222"/>
      <w:r>
        <w:rPr>
          <w:rFonts w:hint="eastAsia" w:ascii="宋体" w:hAnsi="宋体" w:eastAsia="宋体" w:cs="宋体"/>
          <w:color w:val="auto"/>
        </w:rPr>
        <w:t>投标邀请书</w:t>
      </w:r>
      <w:bookmarkEnd w:id="0"/>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三方诚信招标有限公司东莞分公司</w:t>
      </w:r>
      <w:r>
        <w:rPr>
          <w:rFonts w:ascii="宋体" w:hAnsi="宋体" w:eastAsia="宋体"/>
          <w:color w:val="auto"/>
          <w:sz w:val="21"/>
          <w:szCs w:val="21"/>
        </w:rPr>
        <w:t>（以下简称</w:t>
      </w:r>
      <w:r>
        <w:rPr>
          <w:rFonts w:hint="eastAsia" w:ascii="宋体" w:hAnsi="宋体" w:eastAsia="宋体"/>
          <w:color w:val="auto"/>
          <w:sz w:val="21"/>
          <w:szCs w:val="21"/>
        </w:rPr>
        <w:t>“采购代理机构”</w:t>
      </w:r>
      <w:r>
        <w:rPr>
          <w:rFonts w:ascii="宋体" w:hAnsi="宋体" w:eastAsia="宋体"/>
          <w:color w:val="auto"/>
          <w:sz w:val="21"/>
          <w:szCs w:val="21"/>
        </w:rPr>
        <w:t>）受</w:t>
      </w:r>
      <w:r>
        <w:rPr>
          <w:rFonts w:hint="eastAsia" w:ascii="宋体" w:hAnsi="宋体" w:eastAsia="宋体"/>
          <w:b/>
          <w:color w:val="auto"/>
          <w:sz w:val="21"/>
          <w:szCs w:val="21"/>
          <w:u w:val="single"/>
        </w:rPr>
        <w:t>东莞市民政局</w:t>
      </w:r>
      <w:r>
        <w:rPr>
          <w:rFonts w:ascii="宋体" w:hAnsi="宋体" w:eastAsia="宋体"/>
          <w:color w:val="auto"/>
          <w:sz w:val="21"/>
          <w:szCs w:val="21"/>
        </w:rPr>
        <w:t>（以下简称</w:t>
      </w:r>
      <w:r>
        <w:rPr>
          <w:rFonts w:hint="eastAsia" w:ascii="宋体" w:hAnsi="宋体" w:eastAsia="宋体"/>
          <w:color w:val="auto"/>
          <w:sz w:val="21"/>
          <w:szCs w:val="21"/>
        </w:rPr>
        <w:t>“采购人”</w:t>
      </w:r>
      <w:r>
        <w:rPr>
          <w:rFonts w:ascii="宋体" w:hAnsi="宋体" w:eastAsia="宋体"/>
          <w:color w:val="auto"/>
          <w:sz w:val="21"/>
          <w:szCs w:val="21"/>
        </w:rPr>
        <w:t>）委托，</w:t>
      </w:r>
      <w:r>
        <w:rPr>
          <w:rFonts w:hint="eastAsia" w:ascii="宋体" w:hAnsi="宋体" w:eastAsia="宋体"/>
          <w:color w:val="auto"/>
          <w:sz w:val="21"/>
          <w:szCs w:val="21"/>
        </w:rPr>
        <w:t>现</w:t>
      </w:r>
      <w:r>
        <w:rPr>
          <w:rFonts w:ascii="宋体" w:hAnsi="宋体" w:eastAsia="宋体"/>
          <w:color w:val="auto"/>
          <w:sz w:val="21"/>
          <w:szCs w:val="21"/>
        </w:rPr>
        <w:t>就</w:t>
      </w:r>
      <w:r>
        <w:rPr>
          <w:rFonts w:hint="eastAsia" w:ascii="宋体" w:hAnsi="宋体" w:eastAsia="宋体"/>
          <w:b/>
          <w:color w:val="auto"/>
          <w:sz w:val="21"/>
          <w:szCs w:val="21"/>
          <w:u w:val="single"/>
        </w:rPr>
        <w:t>2019-2020年度民政资金审计监督项目</w:t>
      </w:r>
      <w:r>
        <w:rPr>
          <w:rFonts w:hint="eastAsia" w:ascii="宋体" w:hAnsi="宋体" w:eastAsia="宋体"/>
          <w:color w:val="auto"/>
          <w:sz w:val="21"/>
          <w:szCs w:val="21"/>
        </w:rPr>
        <w:t>（采购项目编号：</w:t>
      </w:r>
      <w:r>
        <w:rPr>
          <w:rFonts w:hint="eastAsia" w:ascii="宋体" w:hAnsi="宋体" w:eastAsia="宋体"/>
          <w:b/>
          <w:color w:val="auto"/>
          <w:sz w:val="21"/>
          <w:szCs w:val="21"/>
          <w:u w:val="single"/>
          <w:lang w:val="en-US" w:eastAsia="zh-CN"/>
        </w:rPr>
        <w:t>441900-202004-0006016001-0002</w:t>
      </w:r>
      <w:r>
        <w:rPr>
          <w:rFonts w:hint="eastAsia" w:ascii="宋体" w:hAnsi="宋体" w:eastAsia="宋体"/>
          <w:color w:val="auto"/>
          <w:sz w:val="21"/>
          <w:szCs w:val="21"/>
        </w:rPr>
        <w:t>）</w:t>
      </w:r>
      <w:r>
        <w:rPr>
          <w:rFonts w:hint="eastAsia" w:ascii="宋体" w:hAnsi="宋体" w:eastAsia="宋体" w:cs="Times New Roman"/>
          <w:color w:val="auto"/>
          <w:sz w:val="21"/>
          <w:szCs w:val="21"/>
        </w:rPr>
        <w:t>进行国内公开招标采购</w:t>
      </w:r>
      <w:r>
        <w:rPr>
          <w:rFonts w:hint="eastAsia" w:ascii="宋体" w:hAnsi="宋体" w:eastAsia="宋体"/>
          <w:color w:val="auto"/>
          <w:sz w:val="21"/>
          <w:szCs w:val="21"/>
        </w:rPr>
        <w:t>，欢迎符合招标文件要求的国内投标人参加投标</w:t>
      </w:r>
      <w:r>
        <w:rPr>
          <w:rFonts w:ascii="宋体" w:hAnsi="宋体" w:eastAsia="宋体"/>
          <w:color w:val="auto"/>
          <w:sz w:val="21"/>
          <w:szCs w:val="21"/>
        </w:rPr>
        <w:t>。有关事项如下：</w:t>
      </w:r>
    </w:p>
    <w:p>
      <w:pPr>
        <w:spacing w:after="0" w:line="360" w:lineRule="auto"/>
        <w:ind w:firstLine="413" w:firstLineChars="196"/>
        <w:rPr>
          <w:rFonts w:ascii="宋体" w:hAnsi="宋体" w:eastAsia="宋体"/>
          <w:b/>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一、招标项目的名称、用途、简要技术要求或者招标项目的性质</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1、项目内容：</w:t>
      </w:r>
      <w:r>
        <w:rPr>
          <w:rFonts w:hint="eastAsia" w:ascii="宋体" w:hAnsi="宋体" w:eastAsia="宋体"/>
          <w:b/>
          <w:color w:val="auto"/>
          <w:sz w:val="21"/>
          <w:szCs w:val="21"/>
          <w:u w:val="single"/>
        </w:rPr>
        <w:t>民政资金审计监督</w:t>
      </w:r>
      <w:r>
        <w:rPr>
          <w:rFonts w:hint="eastAsia" w:ascii="宋体" w:hAnsi="宋体" w:eastAsia="宋体"/>
          <w:b/>
          <w:color w:val="auto"/>
          <w:sz w:val="21"/>
          <w:szCs w:val="21"/>
          <w:u w:val="single"/>
          <w:lang w:eastAsia="zh-CN"/>
        </w:rPr>
        <w:t>服务</w:t>
      </w:r>
      <w:r>
        <w:rPr>
          <w:rFonts w:hint="eastAsia" w:ascii="宋体" w:hAnsi="宋体" w:eastAsia="宋体"/>
          <w:color w:val="auto"/>
          <w:sz w:val="21"/>
          <w:szCs w:val="21"/>
        </w:rPr>
        <w:t>采购一项，预算：</w:t>
      </w:r>
      <w:r>
        <w:rPr>
          <w:rFonts w:hint="eastAsia" w:ascii="宋体" w:hAnsi="宋体" w:eastAsia="宋体"/>
          <w:b/>
          <w:color w:val="auto"/>
          <w:sz w:val="21"/>
          <w:szCs w:val="21"/>
          <w:u w:val="single"/>
          <w:lang w:val="en-US" w:eastAsia="zh-CN"/>
        </w:rPr>
        <w:t xml:space="preserve"> 720，000.00 </w:t>
      </w:r>
      <w:r>
        <w:rPr>
          <w:rFonts w:hint="eastAsia" w:ascii="宋体" w:hAnsi="宋体" w:eastAsia="宋体"/>
          <w:color w:val="auto"/>
          <w:sz w:val="21"/>
          <w:szCs w:val="21"/>
        </w:rPr>
        <w:t>元。</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2、简要技术要求或招标项目的性质：详细内容请参阅招标文件第三部分《用户需求书》。</w:t>
      </w:r>
    </w:p>
    <w:p>
      <w:pPr>
        <w:spacing w:after="0" w:line="360" w:lineRule="auto"/>
        <w:ind w:firstLine="413" w:firstLineChars="196"/>
        <w:rPr>
          <w:rFonts w:ascii="宋体" w:hAnsi="宋体" w:eastAsia="宋体"/>
          <w:b/>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二、投标人资格要求</w:t>
      </w:r>
    </w:p>
    <w:p>
      <w:pPr>
        <w:spacing w:after="0" w:line="360" w:lineRule="auto"/>
        <w:ind w:firstLine="411" w:firstLineChars="196"/>
        <w:rPr>
          <w:rFonts w:ascii="宋体" w:hAnsi="宋体" w:eastAsia="宋体"/>
          <w:color w:val="auto"/>
          <w:sz w:val="21"/>
          <w:szCs w:val="21"/>
        </w:rPr>
      </w:pPr>
      <w:r>
        <w:rPr>
          <w:rFonts w:hint="eastAsia" w:ascii="宋体" w:hAnsi="宋体" w:eastAsia="宋体"/>
          <w:color w:val="auto"/>
          <w:sz w:val="21"/>
          <w:szCs w:val="21"/>
        </w:rPr>
        <w:t>1、一般要求：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（1）须符合《中华人民共和国政府采购法》第二十二条规定（需提供书面承诺）；</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（2）参加采购活动前三年内，在经营活动中没有重大违法记录（须提供书面声明）；</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3）本项目不接受联合体投标；投标人的单位负责人为同一人或者存在直接控股、管理关系的不同投标人，不得参加同一合同项下的政府采购活动。为本项目提供整体设计、规范编制或者项目管理、监理、检测等服务的投标人，不得参加本采购项目的采购活动；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（4）未被列入“信用中国”网站(www.creditchina.gov.cn )“记录失信被执行人或重大税收违法案件当事人名单或政府采购严重违法失信行为”记录名单；不处于中国政府采购网(www.ccgp.gov.cn )“政府采购严重违法失信行为信息记录”中的禁止参加政府采购活动期间。以代理机构于投标截止日当天在“信用中国”网站及中国政府采购网查询结果为准，如相关失信记录已失效，投标人需提供相关证明资料。</w:t>
      </w:r>
    </w:p>
    <w:p>
      <w:pPr>
        <w:spacing w:after="0" w:line="360" w:lineRule="auto"/>
        <w:ind w:firstLine="411" w:firstLineChars="196"/>
        <w:rPr>
          <w:rFonts w:ascii="宋体" w:hAnsi="宋体" w:eastAsia="宋体"/>
          <w:color w:val="auto"/>
          <w:sz w:val="21"/>
          <w:szCs w:val="21"/>
        </w:rPr>
      </w:pPr>
      <w:r>
        <w:rPr>
          <w:rFonts w:hint="eastAsia" w:ascii="宋体" w:hAnsi="宋体" w:eastAsia="宋体"/>
          <w:color w:val="auto"/>
          <w:sz w:val="21"/>
          <w:szCs w:val="21"/>
        </w:rPr>
        <w:t>2、特殊要求：具有国家行业主管部门颁发的会计师事务所执业证书。</w:t>
      </w:r>
    </w:p>
    <w:p>
      <w:pPr>
        <w:spacing w:after="0" w:line="360" w:lineRule="auto"/>
        <w:rPr>
          <w:rFonts w:ascii="宋体" w:hAnsi="宋体" w:eastAsia="宋体"/>
          <w:b/>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三、项目公示时间、</w:t>
      </w:r>
      <w:r>
        <w:rPr>
          <w:rFonts w:hint="eastAsia" w:ascii="宋体" w:hAnsi="宋体" w:eastAsia="宋体"/>
          <w:b/>
          <w:color w:val="auto"/>
          <w:sz w:val="21"/>
          <w:szCs w:val="21"/>
          <w:lang w:eastAsia="zh-CN"/>
        </w:rPr>
        <w:t>招标文件领购</w:t>
      </w:r>
      <w:r>
        <w:rPr>
          <w:rFonts w:hint="eastAsia" w:ascii="宋体" w:hAnsi="宋体" w:eastAsia="宋体"/>
          <w:b/>
          <w:color w:val="auto"/>
          <w:sz w:val="21"/>
          <w:szCs w:val="21"/>
        </w:rPr>
        <w:t>时间、地点、方式</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1、项目公示时间：</w:t>
      </w:r>
      <w:r>
        <w:rPr>
          <w:rFonts w:hint="eastAsia" w:ascii="宋体" w:hAnsi="宋体" w:eastAsia="宋体"/>
          <w:color w:val="auto"/>
          <w:sz w:val="21"/>
          <w:szCs w:val="21"/>
          <w:lang w:eastAsia="zh-CN"/>
        </w:rPr>
        <w:t>2020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22</w:t>
      </w:r>
      <w:r>
        <w:rPr>
          <w:rFonts w:hint="eastAsia" w:ascii="宋体" w:hAnsi="宋体" w:eastAsia="宋体"/>
          <w:color w:val="auto"/>
          <w:sz w:val="21"/>
          <w:szCs w:val="21"/>
        </w:rPr>
        <w:t>日起至20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w:t>
      </w:r>
      <w:r>
        <w:rPr>
          <w:rFonts w:hint="eastAsia" w:ascii="宋体" w:hAnsi="宋体" w:eastAsia="宋体"/>
          <w:color w:val="auto"/>
          <w:sz w:val="21"/>
          <w:szCs w:val="21"/>
        </w:rPr>
        <w:t>日。</w:t>
      </w:r>
    </w:p>
    <w:p>
      <w:pPr>
        <w:spacing w:after="0" w:line="360" w:lineRule="auto"/>
        <w:ind w:firstLine="420"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eastAsia="zh-CN"/>
        </w:rPr>
        <w:t>招标文件领购</w:t>
      </w:r>
      <w:r>
        <w:rPr>
          <w:rFonts w:ascii="宋体" w:hAnsi="宋体" w:eastAsia="宋体"/>
          <w:color w:val="auto"/>
          <w:sz w:val="21"/>
          <w:szCs w:val="21"/>
        </w:rPr>
        <w:t>时间：</w:t>
      </w:r>
      <w:r>
        <w:rPr>
          <w:rFonts w:hint="eastAsia" w:ascii="宋体" w:hAnsi="宋体" w:eastAsia="宋体"/>
          <w:color w:val="auto"/>
          <w:sz w:val="21"/>
          <w:szCs w:val="21"/>
          <w:lang w:eastAsia="zh-CN"/>
        </w:rPr>
        <w:t>2020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22</w:t>
      </w:r>
      <w:r>
        <w:rPr>
          <w:rFonts w:hint="eastAsia" w:ascii="宋体" w:hAnsi="宋体" w:eastAsia="宋体"/>
          <w:color w:val="auto"/>
          <w:sz w:val="21"/>
          <w:szCs w:val="21"/>
        </w:rPr>
        <w:t>日起至20</w:t>
      </w:r>
      <w:r>
        <w:rPr>
          <w:rFonts w:hint="eastAsia" w:ascii="宋体" w:hAnsi="宋体" w:eastAsia="宋体"/>
          <w:color w:val="auto"/>
          <w:sz w:val="21"/>
          <w:szCs w:val="21"/>
          <w:lang w:val="en-US" w:eastAsia="zh-CN"/>
        </w:rPr>
        <w:t>20</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4</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28</w:t>
      </w:r>
      <w:r>
        <w:rPr>
          <w:rFonts w:hint="eastAsia" w:ascii="宋体" w:hAnsi="宋体" w:eastAsia="宋体"/>
          <w:color w:val="auto"/>
          <w:sz w:val="21"/>
          <w:szCs w:val="21"/>
        </w:rPr>
        <w:t>日（节假日除外），上午9：00～12：00，下午14：</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0～17：</w:t>
      </w:r>
      <w:r>
        <w:rPr>
          <w:rFonts w:hint="eastAsia" w:ascii="宋体" w:hAnsi="宋体" w:eastAsia="宋体"/>
          <w:color w:val="auto"/>
          <w:sz w:val="21"/>
          <w:szCs w:val="21"/>
          <w:lang w:val="en-US" w:eastAsia="zh-CN"/>
        </w:rPr>
        <w:t>3</w:t>
      </w:r>
      <w:r>
        <w:rPr>
          <w:rFonts w:hint="eastAsia" w:ascii="宋体" w:hAnsi="宋体" w:eastAsia="宋体"/>
          <w:color w:val="auto"/>
          <w:sz w:val="21"/>
          <w:szCs w:val="21"/>
        </w:rPr>
        <w:t xml:space="preserve">0（北京时间）。 </w:t>
      </w:r>
    </w:p>
    <w:p>
      <w:pPr>
        <w:spacing w:after="0" w:line="360" w:lineRule="auto"/>
        <w:ind w:firstLine="420"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注：（1）投标人可自行打印招标文件中的“附件23 获取招标文件登记表”进行填写并带到现场进行领购。（招标文件领购价：人民币0元整）</w:t>
      </w:r>
    </w:p>
    <w:p>
      <w:pPr>
        <w:spacing w:after="0" w:line="360" w:lineRule="auto"/>
        <w:ind w:firstLine="420" w:firstLineChars="200"/>
        <w:rPr>
          <w:color w:val="auto"/>
        </w:rPr>
      </w:pPr>
      <w:r>
        <w:rPr>
          <w:rFonts w:hint="eastAsia" w:ascii="宋体" w:hAnsi="宋体" w:eastAsia="宋体"/>
          <w:color w:val="auto"/>
          <w:sz w:val="21"/>
          <w:szCs w:val="21"/>
          <w:lang w:val="en-US" w:eastAsia="zh-CN"/>
        </w:rPr>
        <w:t>（2）招标文件电子版可在东莞市政府采购网（http://czj.dg.gov.cn/dggp/）或广东省政府采购网（http://www.gdgpo.gov.cn）相关招标信息公告下自行下载。</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eastAsia="zh-CN"/>
        </w:rPr>
        <w:t>招标文件领购</w:t>
      </w:r>
      <w:r>
        <w:rPr>
          <w:rFonts w:hint="eastAsia" w:ascii="宋体" w:hAnsi="宋体" w:eastAsia="宋体"/>
          <w:color w:val="auto"/>
          <w:sz w:val="21"/>
          <w:szCs w:val="21"/>
        </w:rPr>
        <w:t>地点：东莞市南城街道鸿福西路81号国际商会大厦706室。</w:t>
      </w:r>
    </w:p>
    <w:p>
      <w:pPr>
        <w:spacing w:after="0" w:line="36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rPr>
        <w:t>联系人：</w:t>
      </w:r>
      <w:r>
        <w:rPr>
          <w:rFonts w:hint="eastAsia" w:ascii="宋体" w:hAnsi="宋体" w:eastAsia="宋体"/>
          <w:color w:val="auto"/>
          <w:sz w:val="21"/>
          <w:szCs w:val="21"/>
          <w:lang w:eastAsia="zh-CN"/>
        </w:rPr>
        <w:t>黄雯静</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联系电话：0769-21682660</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w:t>
      </w:r>
      <w:r>
        <w:rPr>
          <w:rFonts w:hint="eastAsia" w:ascii="宋体" w:hAnsi="宋体" w:eastAsia="宋体"/>
          <w:color w:val="auto"/>
          <w:sz w:val="21"/>
          <w:szCs w:val="21"/>
          <w:lang w:eastAsia="zh-CN"/>
        </w:rPr>
        <w:t>招标文件领购</w:t>
      </w:r>
      <w:r>
        <w:rPr>
          <w:rFonts w:hint="eastAsia" w:ascii="宋体" w:hAnsi="宋体" w:eastAsia="宋体"/>
          <w:color w:val="auto"/>
          <w:sz w:val="21"/>
          <w:szCs w:val="21"/>
        </w:rPr>
        <w:t>方式：现场</w:t>
      </w:r>
      <w:r>
        <w:rPr>
          <w:rFonts w:hint="eastAsia" w:ascii="宋体" w:hAnsi="宋体" w:eastAsia="宋体"/>
          <w:color w:val="auto"/>
          <w:sz w:val="21"/>
          <w:szCs w:val="21"/>
          <w:lang w:eastAsia="zh-CN"/>
        </w:rPr>
        <w:t>领购</w:t>
      </w:r>
      <w:r>
        <w:rPr>
          <w:rFonts w:hint="eastAsia" w:ascii="宋体" w:hAnsi="宋体" w:eastAsia="宋体"/>
          <w:color w:val="auto"/>
          <w:sz w:val="21"/>
          <w:szCs w:val="21"/>
        </w:rPr>
        <w:t>。</w:t>
      </w:r>
    </w:p>
    <w:p>
      <w:pPr>
        <w:spacing w:after="0" w:line="360" w:lineRule="auto"/>
        <w:ind w:firstLine="420" w:firstLineChars="200"/>
        <w:rPr>
          <w:rFonts w:ascii="宋体" w:hAnsi="宋体" w:eastAsia="宋体"/>
          <w:sz w:val="21"/>
          <w:szCs w:val="21"/>
        </w:rPr>
      </w:pPr>
      <w:r>
        <w:rPr>
          <w:rFonts w:hint="eastAsia" w:ascii="宋体" w:hAnsi="宋体" w:eastAsia="宋体"/>
          <w:color w:val="auto"/>
          <w:sz w:val="21"/>
          <w:szCs w:val="21"/>
        </w:rPr>
        <w:t>投标人在</w:t>
      </w:r>
      <w:r>
        <w:rPr>
          <w:rFonts w:hint="eastAsia" w:ascii="宋体" w:hAnsi="宋体" w:eastAsia="宋体"/>
          <w:color w:val="auto"/>
          <w:sz w:val="21"/>
          <w:szCs w:val="21"/>
          <w:lang w:eastAsia="zh-CN"/>
        </w:rPr>
        <w:t>领购</w:t>
      </w:r>
      <w:r>
        <w:rPr>
          <w:rFonts w:hint="eastAsia" w:ascii="宋体" w:hAnsi="宋体" w:eastAsia="宋体"/>
          <w:color w:val="auto"/>
          <w:sz w:val="21"/>
          <w:szCs w:val="21"/>
        </w:rPr>
        <w:t>招标文件时须提供如下证明材料：《营业执照》复印件（加盖公章）或《事业单位法人证书》复印件（加盖公章）或其他主体证书复印件（加盖公章）</w:t>
      </w:r>
      <w:r>
        <w:rPr>
          <w:rFonts w:hint="eastAsia" w:ascii="宋体" w:hAnsi="宋体" w:eastAsia="宋体"/>
          <w:color w:val="auto"/>
          <w:sz w:val="21"/>
          <w:szCs w:val="21"/>
          <w:lang w:eastAsia="zh-CN"/>
        </w:rPr>
        <w:t>，</w:t>
      </w:r>
      <w:r>
        <w:rPr>
          <w:rFonts w:hint="eastAsia" w:ascii="宋体" w:hAnsi="宋体" w:eastAsia="宋体"/>
          <w:sz w:val="21"/>
          <w:szCs w:val="21"/>
          <w:lang w:eastAsia="zh-CN"/>
        </w:rPr>
        <w:t>自然人参加投标须提供自然人的身份证明材料</w:t>
      </w:r>
      <w:r>
        <w:rPr>
          <w:rFonts w:hint="eastAsia" w:ascii="宋体" w:hAnsi="宋体" w:eastAsia="宋体"/>
          <w:sz w:val="21"/>
          <w:szCs w:val="21"/>
        </w:rPr>
        <w:t>；</w:t>
      </w:r>
    </w:p>
    <w:p>
      <w:pPr>
        <w:spacing w:after="0" w:line="360" w:lineRule="auto"/>
        <w:ind w:firstLine="420" w:firstLineChars="200"/>
        <w:rPr>
          <w:color w:val="auto"/>
        </w:rPr>
      </w:pPr>
      <w:r>
        <w:rPr>
          <w:rFonts w:hint="eastAsia" w:ascii="宋体" w:hAnsi="宋体" w:eastAsia="宋体"/>
          <w:color w:val="auto"/>
          <w:sz w:val="21"/>
          <w:szCs w:val="21"/>
          <w:lang w:val="en-US" w:eastAsia="zh-CN"/>
        </w:rPr>
        <w:t>注：凡参与东莞市政府采购活动的供应商，应通过东莞市政府采购网（http://czj.dg.gov.cn/dggp/）或东莞市公共资源交易网（http://ggzy.dg.gov.cn）进行建档入库，已在市公共资源交易中心入库（企业身份为“政府采购类”）的除外。入库路径：1.东莞市政府采购网-供应商注册；2.东莞市公共资源交易网-企业信息登记-公共资源交易企业库。各供应商在入库过程中遇到问题的，请及时与市公共资源交易中心联系。入库信息管理联系人：杨琳,联系电话：0769-28330677，系统技术人员联系电话：0769-28330604。</w:t>
      </w:r>
    </w:p>
    <w:p>
      <w:pPr>
        <w:spacing w:after="0" w:line="360" w:lineRule="auto"/>
        <w:ind w:firstLine="411" w:firstLineChars="196"/>
        <w:rPr>
          <w:rFonts w:ascii="宋体" w:hAnsi="宋体" w:eastAsia="宋体"/>
          <w:color w:val="auto"/>
          <w:sz w:val="21"/>
          <w:szCs w:val="21"/>
        </w:rPr>
      </w:pPr>
    </w:p>
    <w:p>
      <w:pPr>
        <w:spacing w:after="0" w:line="360" w:lineRule="auto"/>
        <w:ind w:firstLine="413" w:firstLineChars="196"/>
        <w:rPr>
          <w:rFonts w:ascii="宋体" w:hAnsi="宋体" w:eastAsia="宋体"/>
          <w:b/>
          <w:color w:val="auto"/>
          <w:sz w:val="21"/>
          <w:szCs w:val="21"/>
        </w:rPr>
      </w:pPr>
      <w:r>
        <w:rPr>
          <w:rFonts w:hint="eastAsia" w:ascii="宋体" w:hAnsi="宋体" w:eastAsia="宋体"/>
          <w:b/>
          <w:color w:val="auto"/>
          <w:sz w:val="21"/>
          <w:szCs w:val="21"/>
        </w:rPr>
        <w:t>四、投标截止时间、开标时间及地点</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1、递交投标文件时间：20</w:t>
      </w:r>
      <w:r>
        <w:rPr>
          <w:rFonts w:hint="eastAsia" w:ascii="宋体" w:hAnsi="宋体" w:eastAsia="宋体"/>
          <w:bCs/>
          <w:color w:val="auto"/>
          <w:sz w:val="21"/>
          <w:szCs w:val="21"/>
          <w:lang w:val="en-US" w:eastAsia="zh-CN"/>
        </w:rPr>
        <w:t>20</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5</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13</w:t>
      </w:r>
      <w:r>
        <w:rPr>
          <w:rFonts w:hint="eastAsia" w:ascii="宋体" w:hAnsi="宋体" w:eastAsia="宋体"/>
          <w:bCs/>
          <w:color w:val="auto"/>
          <w:sz w:val="21"/>
          <w:szCs w:val="21"/>
        </w:rPr>
        <w:t>日</w:t>
      </w:r>
      <w:r>
        <w:rPr>
          <w:rFonts w:hint="eastAsia" w:ascii="宋体" w:hAnsi="宋体" w:eastAsia="宋体"/>
          <w:bCs/>
          <w:color w:val="auto"/>
          <w:sz w:val="21"/>
          <w:szCs w:val="21"/>
          <w:lang w:eastAsia="zh-CN"/>
        </w:rPr>
        <w:t>下</w:t>
      </w:r>
      <w:r>
        <w:rPr>
          <w:rFonts w:hint="eastAsia" w:ascii="宋体" w:hAnsi="宋体" w:eastAsia="宋体"/>
          <w:bCs/>
          <w:color w:val="auto"/>
          <w:sz w:val="21"/>
          <w:szCs w:val="21"/>
        </w:rPr>
        <w:t>午</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：00～</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：30。</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2、</w:t>
      </w:r>
      <w:r>
        <w:rPr>
          <w:rFonts w:ascii="宋体" w:hAnsi="宋体" w:eastAsia="宋体"/>
          <w:bCs/>
          <w:color w:val="auto"/>
          <w:sz w:val="21"/>
          <w:szCs w:val="21"/>
        </w:rPr>
        <w:t>投标截止</w:t>
      </w:r>
      <w:r>
        <w:rPr>
          <w:rFonts w:hint="eastAsia" w:ascii="宋体" w:hAnsi="宋体" w:eastAsia="宋体"/>
          <w:bCs/>
          <w:color w:val="auto"/>
          <w:sz w:val="21"/>
          <w:szCs w:val="21"/>
        </w:rPr>
        <w:t>及开标时间：20</w:t>
      </w:r>
      <w:r>
        <w:rPr>
          <w:rFonts w:hint="eastAsia" w:ascii="宋体" w:hAnsi="宋体" w:eastAsia="宋体"/>
          <w:bCs/>
          <w:color w:val="auto"/>
          <w:sz w:val="21"/>
          <w:szCs w:val="21"/>
          <w:lang w:val="en-US" w:eastAsia="zh-CN"/>
        </w:rPr>
        <w:t>20</w:t>
      </w:r>
      <w:r>
        <w:rPr>
          <w:rFonts w:hint="eastAsia" w:ascii="宋体" w:hAnsi="宋体" w:eastAsia="宋体"/>
          <w:bCs/>
          <w:color w:val="auto"/>
          <w:sz w:val="21"/>
          <w:szCs w:val="21"/>
        </w:rPr>
        <w:t>年</w:t>
      </w:r>
      <w:r>
        <w:rPr>
          <w:rFonts w:hint="eastAsia" w:ascii="宋体" w:hAnsi="宋体" w:eastAsia="宋体"/>
          <w:bCs/>
          <w:color w:val="auto"/>
          <w:sz w:val="21"/>
          <w:szCs w:val="21"/>
          <w:lang w:val="en-US" w:eastAsia="zh-CN"/>
        </w:rPr>
        <w:t>5</w:t>
      </w:r>
      <w:r>
        <w:rPr>
          <w:rFonts w:hint="eastAsia" w:ascii="宋体" w:hAnsi="宋体" w:eastAsia="宋体"/>
          <w:bCs/>
          <w:color w:val="auto"/>
          <w:sz w:val="21"/>
          <w:szCs w:val="21"/>
        </w:rPr>
        <w:t>月</w:t>
      </w:r>
      <w:r>
        <w:rPr>
          <w:rFonts w:hint="eastAsia" w:ascii="宋体" w:hAnsi="宋体" w:eastAsia="宋体"/>
          <w:bCs/>
          <w:color w:val="auto"/>
          <w:sz w:val="21"/>
          <w:szCs w:val="21"/>
          <w:lang w:val="en-US" w:eastAsia="zh-CN"/>
        </w:rPr>
        <w:t>13</w:t>
      </w:r>
      <w:r>
        <w:rPr>
          <w:rFonts w:hint="eastAsia" w:ascii="宋体" w:hAnsi="宋体" w:eastAsia="宋体"/>
          <w:bCs/>
          <w:color w:val="auto"/>
          <w:sz w:val="21"/>
          <w:szCs w:val="21"/>
        </w:rPr>
        <w:t>日</w:t>
      </w:r>
      <w:r>
        <w:rPr>
          <w:rFonts w:hint="eastAsia" w:ascii="宋体" w:hAnsi="宋体" w:eastAsia="宋体"/>
          <w:bCs/>
          <w:color w:val="auto"/>
          <w:sz w:val="21"/>
          <w:szCs w:val="21"/>
          <w:lang w:eastAsia="zh-CN"/>
        </w:rPr>
        <w:t>下</w:t>
      </w:r>
      <w:r>
        <w:rPr>
          <w:rFonts w:hint="eastAsia" w:ascii="宋体" w:hAnsi="宋体" w:eastAsia="宋体"/>
          <w:bCs/>
          <w:color w:val="auto"/>
          <w:sz w:val="21"/>
          <w:szCs w:val="21"/>
        </w:rPr>
        <w:t>午</w:t>
      </w:r>
      <w:r>
        <w:rPr>
          <w:rFonts w:hint="eastAsia" w:ascii="宋体" w:hAnsi="宋体" w:eastAsia="宋体"/>
          <w:bCs/>
          <w:color w:val="auto"/>
          <w:sz w:val="21"/>
          <w:szCs w:val="21"/>
          <w:lang w:val="en-US" w:eastAsia="zh-CN"/>
        </w:rPr>
        <w:t>14</w:t>
      </w:r>
      <w:r>
        <w:rPr>
          <w:rFonts w:hint="eastAsia" w:ascii="宋体" w:hAnsi="宋体" w:eastAsia="宋体"/>
          <w:bCs/>
          <w:color w:val="auto"/>
          <w:sz w:val="21"/>
          <w:szCs w:val="21"/>
        </w:rPr>
        <w:t>时30分。</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3、</w:t>
      </w:r>
      <w:r>
        <w:rPr>
          <w:rFonts w:ascii="宋体" w:hAnsi="宋体" w:eastAsia="宋体"/>
          <w:bCs/>
          <w:color w:val="auto"/>
          <w:sz w:val="21"/>
          <w:szCs w:val="21"/>
        </w:rPr>
        <w:t>开标地点：</w:t>
      </w:r>
      <w:r>
        <w:rPr>
          <w:rFonts w:hint="eastAsia" w:ascii="宋体" w:hAnsi="宋体" w:eastAsia="宋体"/>
          <w:color w:val="auto"/>
          <w:sz w:val="21"/>
          <w:szCs w:val="21"/>
        </w:rPr>
        <w:t>东莞市南城街道鸿福西路81号国际商会大厦601室</w:t>
      </w:r>
      <w:r>
        <w:rPr>
          <w:rFonts w:hint="eastAsia" w:ascii="宋体" w:hAnsi="宋体" w:eastAsia="宋体"/>
          <w:bCs/>
          <w:color w:val="auto"/>
          <w:sz w:val="21"/>
          <w:szCs w:val="21"/>
        </w:rPr>
        <w:t>。</w:t>
      </w:r>
    </w:p>
    <w:p>
      <w:pPr>
        <w:spacing w:after="0" w:line="360" w:lineRule="auto"/>
        <w:ind w:firstLine="411" w:firstLineChars="196"/>
        <w:rPr>
          <w:rFonts w:ascii="宋体" w:hAnsi="宋体" w:eastAsia="宋体"/>
          <w:bCs/>
          <w:color w:val="auto"/>
          <w:sz w:val="21"/>
          <w:szCs w:val="21"/>
        </w:rPr>
      </w:pPr>
    </w:p>
    <w:p>
      <w:pPr>
        <w:spacing w:after="0" w:line="360" w:lineRule="auto"/>
        <w:ind w:firstLine="413" w:firstLineChars="196"/>
        <w:rPr>
          <w:rFonts w:ascii="宋体" w:hAnsi="宋体" w:eastAsia="宋体"/>
          <w:bCs/>
          <w:color w:val="auto"/>
          <w:sz w:val="21"/>
          <w:szCs w:val="21"/>
        </w:rPr>
      </w:pPr>
      <w:r>
        <w:rPr>
          <w:rFonts w:hint="eastAsia" w:ascii="宋体" w:hAnsi="宋体" w:eastAsia="宋体"/>
          <w:b/>
          <w:color w:val="auto"/>
          <w:sz w:val="21"/>
          <w:szCs w:val="21"/>
        </w:rPr>
        <w:t>五、采购人及采购代理机构的名称、地址和联系方法：</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采购人联系人：梁淑谊</w:t>
      </w:r>
    </w:p>
    <w:p>
      <w:pPr>
        <w:spacing w:after="0" w:line="360" w:lineRule="auto"/>
        <w:ind w:firstLine="420" w:firstLineChars="200"/>
        <w:rPr>
          <w:rFonts w:hint="default" w:ascii="宋体" w:hAnsi="宋体" w:eastAsia="宋体"/>
          <w:bCs/>
          <w:color w:val="auto"/>
          <w:sz w:val="21"/>
          <w:szCs w:val="21"/>
          <w:lang w:val="en-US" w:eastAsia="zh-CN"/>
        </w:rPr>
      </w:pPr>
      <w:r>
        <w:rPr>
          <w:rFonts w:hint="eastAsia" w:ascii="宋体" w:hAnsi="宋体" w:eastAsia="宋体"/>
          <w:bCs/>
          <w:color w:val="auto"/>
          <w:sz w:val="21"/>
          <w:szCs w:val="21"/>
        </w:rPr>
        <w:t>地址：东莞市莞城区汇峰路一号汇峰中心H座</w:t>
      </w:r>
    </w:p>
    <w:p>
      <w:pPr>
        <w:spacing w:after="0" w:line="360" w:lineRule="auto"/>
        <w:ind w:firstLine="420" w:firstLineChars="200"/>
        <w:rPr>
          <w:rFonts w:ascii="宋体" w:hAnsi="宋体" w:eastAsia="宋体"/>
          <w:bCs/>
          <w:color w:val="auto"/>
          <w:sz w:val="21"/>
          <w:szCs w:val="21"/>
        </w:rPr>
      </w:pPr>
      <w:r>
        <w:rPr>
          <w:rFonts w:hint="eastAsia" w:ascii="宋体" w:hAnsi="宋体" w:eastAsia="宋体"/>
          <w:bCs/>
          <w:color w:val="auto"/>
          <w:sz w:val="21"/>
          <w:szCs w:val="21"/>
        </w:rPr>
        <w:t>联系电话：</w:t>
      </w:r>
      <w:r>
        <w:rPr>
          <w:rFonts w:hint="eastAsia" w:ascii="宋体" w:hAnsi="宋体" w:eastAsia="宋体"/>
          <w:bCs/>
          <w:color w:val="auto"/>
          <w:sz w:val="21"/>
          <w:szCs w:val="21"/>
          <w:lang w:val="en-US" w:eastAsia="zh-CN"/>
        </w:rPr>
        <w:t xml:space="preserve">0769-22832561 </w:t>
      </w:r>
    </w:p>
    <w:p>
      <w:pPr>
        <w:spacing w:after="0" w:line="360" w:lineRule="auto"/>
        <w:ind w:firstLine="420" w:firstLineChars="200"/>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采购代理机构名称：三方诚信招标有限公司东莞分公司</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地址：东莞市南城街道鸿福西路81号国际商会大厦706室。</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采购代理机构联系人：黄应奎</w:t>
      </w:r>
      <w:r>
        <w:rPr>
          <w:rFonts w:ascii="宋体" w:hAnsi="宋体" w:eastAsia="宋体"/>
          <w:color w:val="auto"/>
          <w:sz w:val="21"/>
          <w:szCs w:val="21"/>
        </w:rPr>
        <w:t xml:space="preserve">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联系电话：0769-21682660</w:t>
      </w:r>
    </w:p>
    <w:p>
      <w:pPr>
        <w:spacing w:after="0" w:line="360" w:lineRule="auto"/>
        <w:ind w:firstLine="420" w:firstLineChars="200"/>
        <w:rPr>
          <w:rFonts w:eastAsia="宋体"/>
          <w:color w:val="auto"/>
        </w:rPr>
      </w:pPr>
      <w:r>
        <w:rPr>
          <w:rFonts w:hint="eastAsia" w:ascii="宋体" w:hAnsi="宋体" w:eastAsia="宋体"/>
          <w:color w:val="auto"/>
          <w:sz w:val="21"/>
          <w:szCs w:val="21"/>
        </w:rPr>
        <w:t>E－ mail：49191135@qq.com</w:t>
      </w:r>
    </w:p>
    <w:p>
      <w:pPr>
        <w:ind w:right="788" w:rightChars="358"/>
        <w:jc w:val="both"/>
        <w:rPr>
          <w:color w:val="auto"/>
        </w:rPr>
      </w:pPr>
    </w:p>
    <w:p>
      <w:pPr>
        <w:ind w:right="788" w:rightChars="358"/>
        <w:jc w:val="right"/>
        <w:rPr>
          <w:rFonts w:ascii="宋体" w:hAnsi="宋体" w:eastAsia="宋体" w:cs="宋体"/>
          <w:color w:val="auto"/>
          <w:sz w:val="21"/>
          <w:szCs w:val="21"/>
        </w:rPr>
      </w:pPr>
      <w:r>
        <w:rPr>
          <w:rFonts w:hint="eastAsia" w:ascii="宋体" w:hAnsi="宋体" w:eastAsia="宋体" w:cs="宋体"/>
          <w:color w:val="auto"/>
          <w:sz w:val="21"/>
          <w:szCs w:val="21"/>
        </w:rPr>
        <w:t xml:space="preserve">    三方诚信招标有限公司东莞分公司</w:t>
      </w:r>
    </w:p>
    <w:p>
      <w:pPr>
        <w:ind w:left="6481" w:leftChars="2755" w:hanging="420" w:hangingChars="200"/>
        <w:rPr>
          <w:rFonts w:ascii="宋体" w:hAnsi="宋体" w:eastAsia="宋体" w:cs="宋体"/>
          <w:color w:val="auto"/>
          <w:sz w:val="21"/>
          <w:szCs w:val="21"/>
        </w:rPr>
      </w:pPr>
      <w:r>
        <w:rPr>
          <w:rFonts w:hint="eastAsia" w:ascii="宋体" w:hAnsi="宋体" w:eastAsia="宋体" w:cs="宋体"/>
          <w:color w:val="auto"/>
          <w:sz w:val="21"/>
          <w:szCs w:val="21"/>
        </w:rPr>
        <w:t>二〇二〇年</w:t>
      </w:r>
      <w:r>
        <w:rPr>
          <w:rFonts w:hint="eastAsia" w:ascii="宋体" w:hAnsi="宋体" w:eastAsia="宋体" w:cs="宋体"/>
          <w:color w:val="auto"/>
          <w:sz w:val="21"/>
          <w:szCs w:val="21"/>
          <w:lang w:eastAsia="zh-CN"/>
        </w:rPr>
        <w:t>四</w:t>
      </w:r>
      <w:r>
        <w:rPr>
          <w:rFonts w:hint="eastAsia" w:ascii="宋体" w:hAnsi="宋体" w:eastAsia="宋体" w:cs="宋体"/>
          <w:color w:val="auto"/>
          <w:sz w:val="21"/>
          <w:szCs w:val="21"/>
        </w:rPr>
        <w:t>月</w:t>
      </w:r>
    </w:p>
    <w:p>
      <w:pPr>
        <w:ind w:left="6481" w:leftChars="2755" w:hanging="420" w:hangingChars="200"/>
        <w:rPr>
          <w:rFonts w:ascii="黑体" w:hAnsi="宋体" w:eastAsia="黑体"/>
          <w:color w:val="auto"/>
        </w:rPr>
      </w:pPr>
      <w:r>
        <w:rPr>
          <w:rFonts w:hint="eastAsia" w:ascii="宋体" w:hAnsi="宋体" w:eastAsia="宋体" w:cs="宋体"/>
          <w:color w:val="auto"/>
          <w:sz w:val="21"/>
          <w:szCs w:val="21"/>
        </w:rPr>
        <w:br w:type="page"/>
      </w:r>
    </w:p>
    <w:p>
      <w:pPr>
        <w:pStyle w:val="2"/>
        <w:spacing w:before="0" w:after="0" w:line="240" w:lineRule="auto"/>
        <w:rPr>
          <w:color w:val="auto"/>
          <w:sz w:val="28"/>
          <w:szCs w:val="28"/>
        </w:rPr>
      </w:pPr>
      <w:bookmarkStart w:id="1" w:name="_Toc14146"/>
      <w:r>
        <w:rPr>
          <w:rFonts w:hint="eastAsia"/>
          <w:color w:val="auto"/>
          <w:sz w:val="28"/>
          <w:szCs w:val="28"/>
        </w:rPr>
        <w:t>第二部分 相关资料表格</w:t>
      </w:r>
      <w:bookmarkEnd w:id="1"/>
    </w:p>
    <w:p>
      <w:pPr>
        <w:pStyle w:val="3"/>
        <w:spacing w:before="0" w:after="0" w:line="240" w:lineRule="auto"/>
        <w:jc w:val="center"/>
        <w:rPr>
          <w:rFonts w:ascii="宋体" w:hAnsi="宋体" w:eastAsia="宋体" w:cs="宋体"/>
          <w:color w:val="auto"/>
          <w:sz w:val="24"/>
          <w:szCs w:val="24"/>
        </w:rPr>
      </w:pPr>
      <w:bookmarkStart w:id="2" w:name="_Toc20683"/>
      <w:r>
        <w:rPr>
          <w:rFonts w:hint="eastAsia" w:ascii="宋体" w:hAnsi="宋体" w:eastAsia="宋体" w:cs="宋体"/>
          <w:color w:val="auto"/>
          <w:sz w:val="24"/>
          <w:szCs w:val="24"/>
        </w:rPr>
        <w:t>附表一：投标资料表</w:t>
      </w:r>
      <w:bookmarkEnd w:id="2"/>
    </w:p>
    <w:tbl>
      <w:tblPr>
        <w:tblStyle w:val="16"/>
        <w:tblW w:w="8410" w:type="dxa"/>
        <w:tblInd w:w="-24" w:type="dxa"/>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Layout w:type="fixed"/>
        <w:tblCellMar>
          <w:top w:w="0" w:type="dxa"/>
          <w:left w:w="28" w:type="dxa"/>
          <w:bottom w:w="0" w:type="dxa"/>
          <w:right w:w="28" w:type="dxa"/>
        </w:tblCellMar>
      </w:tblPr>
      <w:tblGrid>
        <w:gridCol w:w="878"/>
        <w:gridCol w:w="2510"/>
        <w:gridCol w:w="98"/>
        <w:gridCol w:w="1158"/>
        <w:gridCol w:w="1254"/>
        <w:gridCol w:w="2512"/>
      </w:tblGrid>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0" w:hRule="atLeast"/>
        </w:trPr>
        <w:tc>
          <w:tcPr>
            <w:tcW w:w="87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内</w:t>
            </w:r>
            <w:r>
              <w:rPr>
                <w:rFonts w:ascii="宋体" w:hAnsi="宋体" w:eastAsia="宋体"/>
                <w:b/>
                <w:color w:val="auto"/>
                <w:sz w:val="21"/>
                <w:szCs w:val="21"/>
              </w:rPr>
              <w:t xml:space="preserve">      </w:t>
            </w:r>
            <w:r>
              <w:rPr>
                <w:rFonts w:hint="eastAsia" w:ascii="宋体" w:hAnsi="宋体" w:eastAsia="宋体"/>
                <w:b/>
                <w:color w:val="auto"/>
                <w:sz w:val="21"/>
                <w:szCs w:val="21"/>
              </w:rPr>
              <w:t>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551"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一、说明</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w:t>
            </w: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项目最高限价（单位：元）</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Cs/>
                <w:color w:val="auto"/>
                <w:sz w:val="21"/>
                <w:szCs w:val="21"/>
              </w:rPr>
              <w:t>与项目预算一致。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2</w:t>
            </w: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b/>
                <w:bCs/>
                <w:color w:val="auto"/>
                <w:sz w:val="21"/>
                <w:szCs w:val="21"/>
              </w:rPr>
              <w:t>资金来源</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bCs/>
                <w:color w:val="auto"/>
                <w:sz w:val="21"/>
                <w:szCs w:val="21"/>
              </w:rPr>
            </w:pPr>
            <w:r>
              <w:rPr>
                <w:rFonts w:hint="eastAsia" w:ascii="宋体" w:hAnsi="宋体" w:eastAsia="宋体"/>
                <w:color w:val="auto"/>
                <w:sz w:val="21"/>
                <w:szCs w:val="21"/>
              </w:rPr>
              <w:t>财政性资金。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3</w:t>
            </w: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Cs/>
                <w:color w:val="auto"/>
                <w:sz w:val="21"/>
                <w:szCs w:val="21"/>
              </w:rPr>
              <w:t>本项目不组织踏勘现场。</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4</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招标信息发布网站</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2510"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东莞市政府采购网</w:t>
            </w:r>
          </w:p>
        </w:tc>
        <w:tc>
          <w:tcPr>
            <w:tcW w:w="2510"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广东省政府采购网</w:t>
            </w:r>
          </w:p>
        </w:tc>
        <w:tc>
          <w:tcPr>
            <w:tcW w:w="2512" w:type="dxa"/>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60" w:hRule="atLeast"/>
        </w:trPr>
        <w:tc>
          <w:tcPr>
            <w:tcW w:w="878" w:type="dxa"/>
            <w:vMerge w:val="continue"/>
            <w:vAlign w:val="center"/>
          </w:tcPr>
          <w:p>
            <w:pPr>
              <w:spacing w:after="0"/>
              <w:jc w:val="center"/>
              <w:rPr>
                <w:rFonts w:ascii="宋体" w:hAnsi="宋体" w:eastAsia="宋体"/>
                <w:color w:val="auto"/>
                <w:sz w:val="21"/>
                <w:szCs w:val="21"/>
              </w:rPr>
            </w:pPr>
          </w:p>
        </w:tc>
        <w:tc>
          <w:tcPr>
            <w:tcW w:w="2510" w:type="dxa"/>
            <w:vAlign w:val="center"/>
          </w:tcPr>
          <w:p>
            <w:pPr>
              <w:spacing w:after="0"/>
              <w:jc w:val="center"/>
              <w:rPr>
                <w:rFonts w:ascii="宋体" w:hAnsi="宋体" w:eastAsia="宋体"/>
                <w:b/>
                <w:color w:val="auto"/>
                <w:sz w:val="21"/>
                <w:szCs w:val="21"/>
              </w:rPr>
            </w:pPr>
            <w:r>
              <w:rPr>
                <w:rFonts w:hint="eastAsia" w:ascii="宋体" w:hAnsi="宋体" w:eastAsia="宋体"/>
                <w:color w:val="auto"/>
                <w:sz w:val="21"/>
                <w:szCs w:val="21"/>
              </w:rPr>
              <w:t>http://czj.dg.gov.cn/dggp/</w:t>
            </w:r>
          </w:p>
        </w:tc>
        <w:tc>
          <w:tcPr>
            <w:tcW w:w="2510" w:type="dxa"/>
            <w:gridSpan w:val="3"/>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http://www.gdgpo.gov.cn</w:t>
            </w:r>
          </w:p>
        </w:tc>
        <w:tc>
          <w:tcPr>
            <w:tcW w:w="2512" w:type="dxa"/>
            <w:vAlign w:val="center"/>
          </w:tcPr>
          <w:p>
            <w:pPr>
              <w:spacing w:after="0"/>
              <w:jc w:val="center"/>
              <w:rPr>
                <w:rFonts w:ascii="宋体" w:hAnsi="宋体" w:eastAsia="宋体"/>
                <w:b/>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45"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二、投标文件的编制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5</w:t>
            </w: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b/>
                <w:color w:val="auto"/>
                <w:sz w:val="21"/>
                <w:szCs w:val="21"/>
              </w:rPr>
              <w:t>投标语言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rPr>
                <w:rFonts w:ascii="宋体" w:hAnsi="宋体" w:eastAsia="宋体"/>
                <w:b/>
                <w:color w:val="auto"/>
                <w:sz w:val="21"/>
                <w:szCs w:val="21"/>
              </w:rPr>
            </w:pPr>
            <w:r>
              <w:rPr>
                <w:rFonts w:hint="eastAsia" w:ascii="宋体" w:hAnsi="宋体" w:eastAsia="宋体"/>
                <w:color w:val="auto"/>
                <w:sz w:val="21"/>
                <w:szCs w:val="21"/>
              </w:rPr>
              <w:t>中文。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6</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投标报价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详见投标人须知。</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7</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投标样品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详见用户需求。</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8</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both"/>
              <w:rPr>
                <w:rFonts w:ascii="宋体" w:hAnsi="宋体" w:eastAsia="宋体"/>
                <w:color w:val="auto"/>
                <w:sz w:val="21"/>
                <w:szCs w:val="21"/>
              </w:rPr>
            </w:pPr>
          </w:p>
        </w:tc>
        <w:tc>
          <w:tcPr>
            <w:tcW w:w="7532" w:type="dxa"/>
            <w:gridSpan w:val="5"/>
            <w:vAlign w:val="center"/>
          </w:tcPr>
          <w:p>
            <w:pPr>
              <w:spacing w:after="0"/>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本项目为服务采购项目，无核心产品</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9</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（1）投标保证金金额：人民币</w:t>
            </w:r>
            <w:r>
              <w:rPr>
                <w:rFonts w:hint="eastAsia" w:ascii="宋体" w:hAnsi="宋体" w:eastAsia="宋体"/>
                <w:color w:val="auto"/>
                <w:sz w:val="21"/>
                <w:szCs w:val="21"/>
                <w:lang w:eastAsia="zh-CN"/>
              </w:rPr>
              <w:t>壹万肆仟</w:t>
            </w:r>
            <w:r>
              <w:rPr>
                <w:rFonts w:hint="eastAsia" w:ascii="宋体" w:hAnsi="宋体" w:eastAsia="宋体"/>
                <w:color w:val="auto"/>
                <w:sz w:val="21"/>
                <w:szCs w:val="21"/>
              </w:rPr>
              <w:t>元整（￥</w:t>
            </w:r>
            <w:r>
              <w:rPr>
                <w:rFonts w:hint="eastAsia" w:ascii="宋体" w:hAnsi="宋体" w:eastAsia="宋体"/>
                <w:b/>
                <w:color w:val="auto"/>
                <w:sz w:val="21"/>
                <w:szCs w:val="21"/>
                <w:lang w:val="en-US" w:eastAsia="zh-CN"/>
              </w:rPr>
              <w:t>14,000.00</w:t>
            </w:r>
            <w:r>
              <w:rPr>
                <w:rFonts w:hint="eastAsia" w:ascii="宋体" w:hAnsi="宋体" w:eastAsia="宋体"/>
                <w:color w:val="auto"/>
                <w:sz w:val="21"/>
                <w:szCs w:val="21"/>
              </w:rPr>
              <w:t>）。</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lang w:val="zh-CN"/>
              </w:rPr>
              <w:t>投标保证金须严格按“招标文件第五章投标人须知”要求提交。</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60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（3）保证金递交账户：</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收款人：广东三方诚信招标有限公司东莞分公司</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开户行：广发银行股份有限公司东莞南城支行</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帐  号：6232590699050008885</w:t>
            </w:r>
          </w:p>
          <w:p>
            <w:pPr>
              <w:spacing w:after="0"/>
              <w:jc w:val="both"/>
              <w:rPr>
                <w:rFonts w:ascii="宋体" w:hAnsi="宋体" w:eastAsia="宋体"/>
                <w:color w:val="auto"/>
                <w:sz w:val="21"/>
                <w:szCs w:val="21"/>
              </w:rPr>
            </w:pPr>
            <w:r>
              <w:rPr>
                <w:rFonts w:hint="eastAsia" w:ascii="宋体" w:hAnsi="宋体" w:eastAsia="宋体"/>
                <w:color w:val="auto"/>
                <w:sz w:val="21"/>
                <w:szCs w:val="21"/>
                <w:lang w:val="zh-CN"/>
              </w:rPr>
              <w:t>（各投标人在转帐或电汇时须在用途栏上写明采购项目编号）。</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10</w:t>
            </w:r>
          </w:p>
        </w:tc>
        <w:tc>
          <w:tcPr>
            <w:tcW w:w="7532" w:type="dxa"/>
            <w:gridSpan w:val="5"/>
            <w:vAlign w:val="center"/>
          </w:tcPr>
          <w:p>
            <w:pPr>
              <w:spacing w:after="0"/>
              <w:jc w:val="both"/>
              <w:rPr>
                <w:rFonts w:ascii="宋体" w:hAnsi="宋体" w:eastAsia="宋体"/>
                <w:b/>
                <w:bCs/>
                <w:color w:val="auto"/>
                <w:sz w:val="21"/>
                <w:szCs w:val="21"/>
                <w:lang w:val="zh-CN"/>
              </w:rPr>
            </w:pPr>
            <w:r>
              <w:rPr>
                <w:rFonts w:hint="eastAsia" w:ascii="宋体" w:hAnsi="宋体" w:eastAsia="宋体"/>
                <w:b/>
                <w:bCs/>
                <w:color w:val="auto"/>
                <w:sz w:val="21"/>
                <w:szCs w:val="21"/>
                <w:lang w:val="zh-CN"/>
              </w:rPr>
              <w:t>投标保证金退还</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535"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1</w:t>
            </w:r>
            <w:r>
              <w:rPr>
                <w:rFonts w:hint="eastAsia" w:ascii="宋体" w:hAnsi="宋体" w:eastAsia="宋体"/>
                <w:color w:val="auto"/>
                <w:sz w:val="21"/>
                <w:szCs w:val="21"/>
                <w:lang w:val="zh-CN"/>
              </w:rPr>
              <w:t>）未中标的投标人的保证金在采购结果公示发出后5个工作日内退还，中标投标人的保证金在采购合同签订后5个工作日内退还。</w:t>
            </w:r>
          </w:p>
          <w:p>
            <w:pPr>
              <w:spacing w:after="0"/>
              <w:jc w:val="both"/>
              <w:rPr>
                <w:rFonts w:ascii="宋体" w:hAnsi="宋体" w:eastAsia="宋体"/>
                <w:color w:val="auto"/>
                <w:sz w:val="21"/>
                <w:szCs w:val="21"/>
                <w:lang w:val="zh-CN"/>
              </w:rPr>
            </w:pPr>
            <w:r>
              <w:rPr>
                <w:rFonts w:hint="eastAsia" w:ascii="宋体" w:hAnsi="宋体" w:eastAsia="宋体"/>
                <w:color w:val="auto"/>
                <w:sz w:val="21"/>
                <w:szCs w:val="21"/>
                <w:lang w:val="zh-CN"/>
              </w:rPr>
              <w:t>（</w:t>
            </w:r>
            <w:r>
              <w:rPr>
                <w:rFonts w:hint="eastAsia" w:ascii="宋体" w:hAnsi="宋体" w:eastAsia="宋体"/>
                <w:color w:val="auto"/>
                <w:sz w:val="21"/>
                <w:szCs w:val="21"/>
              </w:rPr>
              <w:t>2</w:t>
            </w:r>
            <w:r>
              <w:rPr>
                <w:rFonts w:hint="eastAsia" w:ascii="宋体" w:hAnsi="宋体" w:eastAsia="宋体"/>
                <w:color w:val="auto"/>
                <w:sz w:val="21"/>
                <w:szCs w:val="21"/>
                <w:lang w:val="zh-CN"/>
              </w:rPr>
              <w:t>）为方便退还未中标的投保人的保证金，投标人应制作《投标保证金汇入情况说明》随开标文件一并递交。</w:t>
            </w:r>
          </w:p>
          <w:p>
            <w:pPr>
              <w:spacing w:after="0"/>
              <w:jc w:val="both"/>
              <w:rPr>
                <w:rFonts w:eastAsia="宋体"/>
                <w:color w:val="auto"/>
              </w:rPr>
            </w:pPr>
            <w:r>
              <w:rPr>
                <w:rFonts w:hint="eastAsia" w:ascii="宋体" w:hAnsi="宋体" w:eastAsia="宋体"/>
                <w:color w:val="auto"/>
                <w:sz w:val="21"/>
                <w:szCs w:val="21"/>
                <w:lang w:val="zh-CN"/>
              </w:rPr>
              <w:t>（</w:t>
            </w:r>
            <w:r>
              <w:rPr>
                <w:rFonts w:hint="eastAsia" w:ascii="宋体" w:hAnsi="宋体" w:eastAsia="宋体"/>
                <w:color w:val="auto"/>
                <w:sz w:val="21"/>
                <w:szCs w:val="21"/>
              </w:rPr>
              <w:t>3</w:t>
            </w:r>
            <w:r>
              <w:rPr>
                <w:rFonts w:hint="eastAsia" w:ascii="宋体" w:hAnsi="宋体" w:eastAsia="宋体"/>
                <w:color w:val="auto"/>
                <w:sz w:val="21"/>
                <w:szCs w:val="21"/>
                <w:lang w:val="zh-CN"/>
              </w:rPr>
              <w:t>）投标保证金退还联系电话：</w:t>
            </w:r>
            <w:r>
              <w:rPr>
                <w:rFonts w:hint="eastAsia" w:ascii="宋体" w:hAnsi="宋体" w:eastAsia="宋体"/>
                <w:color w:val="auto"/>
                <w:sz w:val="21"/>
                <w:szCs w:val="21"/>
              </w:rPr>
              <w:t>0769-21862660-801。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11</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w:t>
            </w:r>
            <w:r>
              <w:rPr>
                <w:rFonts w:hint="eastAsia" w:ascii="宋体" w:hAnsi="宋体" w:eastAsia="宋体"/>
                <w:b/>
                <w:color w:val="auto"/>
                <w:sz w:val="21"/>
                <w:szCs w:val="21"/>
              </w:rPr>
              <w:t>投标有效期</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九十天。</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12</w:t>
            </w:r>
          </w:p>
        </w:tc>
        <w:tc>
          <w:tcPr>
            <w:tcW w:w="7532" w:type="dxa"/>
            <w:gridSpan w:val="5"/>
            <w:vAlign w:val="center"/>
          </w:tcPr>
          <w:p>
            <w:pPr>
              <w:spacing w:after="0"/>
              <w:jc w:val="center"/>
              <w:rPr>
                <w:rFonts w:hint="eastAsia" w:ascii="宋体" w:hAnsi="宋体" w:eastAsia="宋体"/>
                <w:color w:val="auto"/>
                <w:sz w:val="21"/>
                <w:szCs w:val="21"/>
              </w:rPr>
            </w:pPr>
            <w:r>
              <w:rPr>
                <w:rFonts w:hint="eastAsia" w:ascii="宋体" w:hAnsi="宋体" w:eastAsia="宋体"/>
                <w:b/>
                <w:color w:val="auto"/>
                <w:sz w:val="21"/>
                <w:szCs w:val="21"/>
              </w:rPr>
              <w:t>信用信息查询渠道</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lang w:val="en-US" w:eastAsia="zh-CN"/>
              </w:rPr>
            </w:pPr>
          </w:p>
        </w:tc>
        <w:tc>
          <w:tcPr>
            <w:tcW w:w="3766" w:type="dxa"/>
            <w:gridSpan w:val="3"/>
            <w:vAlign w:val="center"/>
          </w:tcPr>
          <w:p>
            <w:pPr>
              <w:spacing w:after="0"/>
              <w:jc w:val="center"/>
              <w:rPr>
                <w:rFonts w:hint="eastAsia" w:ascii="宋体" w:hAnsi="宋体" w:eastAsia="宋体"/>
                <w:b/>
                <w:color w:val="auto"/>
                <w:sz w:val="21"/>
                <w:szCs w:val="21"/>
                <w:lang w:eastAsia="zh-CN"/>
              </w:rPr>
            </w:pPr>
            <w:r>
              <w:rPr>
                <w:rFonts w:hint="eastAsia" w:ascii="宋体" w:hAnsi="宋体" w:eastAsia="宋体"/>
                <w:b/>
                <w:color w:val="auto"/>
                <w:sz w:val="21"/>
                <w:szCs w:val="21"/>
                <w:lang w:eastAsia="zh-CN"/>
              </w:rPr>
              <w:t>信用中国</w:t>
            </w:r>
          </w:p>
        </w:tc>
        <w:tc>
          <w:tcPr>
            <w:tcW w:w="3766" w:type="dxa"/>
            <w:gridSpan w:val="2"/>
            <w:vAlign w:val="center"/>
          </w:tcPr>
          <w:p>
            <w:pPr>
              <w:spacing w:after="0"/>
              <w:jc w:val="center"/>
              <w:rPr>
                <w:rFonts w:hint="eastAsia" w:ascii="宋体" w:hAnsi="宋体" w:eastAsia="宋体"/>
                <w:b/>
                <w:color w:val="auto"/>
                <w:sz w:val="21"/>
                <w:szCs w:val="21"/>
              </w:rPr>
            </w:pPr>
            <w:r>
              <w:rPr>
                <w:rFonts w:hint="eastAsia" w:ascii="宋体" w:hAnsi="宋体" w:eastAsia="宋体"/>
                <w:b/>
                <w:color w:val="auto"/>
                <w:sz w:val="21"/>
                <w:szCs w:val="21"/>
              </w:rPr>
              <w:t>中国政府采购网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hint="eastAsia" w:ascii="宋体" w:hAnsi="宋体" w:eastAsia="宋体"/>
                <w:color w:val="auto"/>
                <w:sz w:val="21"/>
                <w:szCs w:val="21"/>
                <w:lang w:val="en-US" w:eastAsia="zh-CN"/>
              </w:rPr>
            </w:pPr>
          </w:p>
        </w:tc>
        <w:tc>
          <w:tcPr>
            <w:tcW w:w="3766" w:type="dxa"/>
            <w:gridSpan w:val="3"/>
            <w:vAlign w:val="center"/>
          </w:tcPr>
          <w:p>
            <w:pPr>
              <w:spacing w:after="0"/>
              <w:jc w:val="center"/>
              <w:rPr>
                <w:rFonts w:hint="eastAsia" w:ascii="宋体" w:hAnsi="宋体" w:eastAsia="宋体"/>
                <w:color w:val="auto"/>
                <w:sz w:val="21"/>
                <w:szCs w:val="21"/>
              </w:rPr>
            </w:pPr>
            <w:r>
              <w:rPr>
                <w:rFonts w:hint="eastAsia" w:ascii="宋体" w:hAnsi="宋体" w:eastAsia="宋体"/>
                <w:color w:val="auto"/>
                <w:sz w:val="21"/>
                <w:szCs w:val="21"/>
              </w:rPr>
              <w:t>https://www.creditchina.gov.cn/</w:t>
            </w:r>
          </w:p>
        </w:tc>
        <w:tc>
          <w:tcPr>
            <w:tcW w:w="3766" w:type="dxa"/>
            <w:gridSpan w:val="2"/>
            <w:vAlign w:val="center"/>
          </w:tcPr>
          <w:p>
            <w:pPr>
              <w:spacing w:after="0"/>
              <w:jc w:val="center"/>
              <w:rPr>
                <w:rFonts w:hint="eastAsia" w:ascii="宋体" w:hAnsi="宋体" w:eastAsia="宋体"/>
                <w:color w:val="auto"/>
                <w:sz w:val="21"/>
                <w:szCs w:val="21"/>
              </w:rPr>
            </w:pPr>
            <w:r>
              <w:rPr>
                <w:rFonts w:ascii="宋体" w:hAnsi="宋体" w:eastAsia="宋体"/>
                <w:color w:val="auto"/>
                <w:sz w:val="21"/>
                <w:szCs w:val="21"/>
              </w:rPr>
              <w:t>http://www.ccgp.gov.cn/</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13</w:t>
            </w:r>
          </w:p>
        </w:tc>
        <w:tc>
          <w:tcPr>
            <w:tcW w:w="7532" w:type="dxa"/>
            <w:gridSpan w:val="5"/>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投标人应提交以下投标文件</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投标文件类型</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份数</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开标文件</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投标文件正本</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投标文件副本</w:t>
            </w:r>
          </w:p>
        </w:tc>
        <w:tc>
          <w:tcPr>
            <w:tcW w:w="4924" w:type="dxa"/>
            <w:gridSpan w:val="3"/>
            <w:vAlign w:val="center"/>
          </w:tcPr>
          <w:p>
            <w:pPr>
              <w:spacing w:after="0"/>
              <w:jc w:val="center"/>
              <w:rPr>
                <w:rFonts w:hint="eastAsia" w:ascii="宋体" w:hAnsi="宋体" w:eastAsia="宋体"/>
                <w:b/>
                <w:color w:val="auto"/>
                <w:sz w:val="21"/>
                <w:szCs w:val="21"/>
                <w:lang w:eastAsia="zh-CN"/>
              </w:rPr>
            </w:pPr>
            <w:r>
              <w:rPr>
                <w:rFonts w:hint="eastAsia" w:ascii="宋体" w:hAnsi="宋体" w:eastAsia="宋体"/>
                <w:b/>
                <w:color w:val="auto"/>
                <w:sz w:val="21"/>
                <w:szCs w:val="21"/>
                <w:lang w:val="en-US" w:eastAsia="zh-CN"/>
              </w:rPr>
              <w:t>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94" w:hRule="atLeast"/>
        </w:trPr>
        <w:tc>
          <w:tcPr>
            <w:tcW w:w="878" w:type="dxa"/>
            <w:vMerge w:val="continue"/>
            <w:vAlign w:val="center"/>
          </w:tcPr>
          <w:p>
            <w:pPr>
              <w:spacing w:after="0"/>
              <w:jc w:val="center"/>
              <w:rPr>
                <w:rFonts w:ascii="宋体" w:hAnsi="宋体" w:eastAsia="宋体"/>
                <w:color w:val="auto"/>
                <w:sz w:val="21"/>
                <w:szCs w:val="21"/>
              </w:rPr>
            </w:pPr>
          </w:p>
        </w:tc>
        <w:tc>
          <w:tcPr>
            <w:tcW w:w="2608" w:type="dxa"/>
            <w:gridSpan w:val="2"/>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电子文档</w:t>
            </w:r>
          </w:p>
        </w:tc>
        <w:tc>
          <w:tcPr>
            <w:tcW w:w="4924" w:type="dxa"/>
            <w:gridSpan w:val="3"/>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57"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三、开标与评标</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14</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本项目评标方法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综合评分法。</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3"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15</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综合评分法评分因素和权重分值</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472"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见附表一。</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16</w:t>
            </w: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小型或微型企业、监狱企业、残疾人福利性单位投标价格折扣标准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6%。</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color w:val="auto"/>
                <w:sz w:val="21"/>
                <w:szCs w:val="21"/>
              </w:rPr>
              <w:t>投标人符合须知“优惠政策”中联合体规定的投标价格折扣标准</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rPr>
              <w:t>2%。</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b/>
                <w:bCs/>
                <w:color w:val="auto"/>
                <w:sz w:val="21"/>
                <w:szCs w:val="21"/>
              </w:rPr>
              <w:t>投标人所投产品为获得节能产品认证或环境标志产品认证证书的价格折扣标准（相关规定详见投标人须知“优惠政策”）</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608"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spacing w:after="0"/>
              <w:jc w:val="both"/>
              <w:rPr>
                <w:rFonts w:ascii="宋体" w:hAnsi="宋体" w:eastAsia="宋体"/>
                <w:color w:val="auto"/>
                <w:sz w:val="21"/>
                <w:szCs w:val="21"/>
              </w:rPr>
            </w:pPr>
            <w:r>
              <w:rPr>
                <w:rFonts w:hint="eastAsia" w:ascii="宋体" w:hAnsi="宋体" w:eastAsia="宋体"/>
                <w:color w:val="auto"/>
                <w:sz w:val="21"/>
                <w:szCs w:val="21"/>
                <w:lang w:eastAsia="zh-CN"/>
              </w:rPr>
              <w:t>该</w:t>
            </w:r>
            <w:r>
              <w:rPr>
                <w:rFonts w:hint="eastAsia" w:ascii="宋体" w:hAnsi="宋体" w:eastAsia="宋体"/>
                <w:color w:val="auto"/>
                <w:sz w:val="21"/>
                <w:szCs w:val="21"/>
              </w:rPr>
              <w:t>项节能或环境标志产品折扣3%。</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cantSplit/>
          <w:trHeight w:val="817" w:hRule="atLeast"/>
        </w:trPr>
        <w:tc>
          <w:tcPr>
            <w:tcW w:w="8410" w:type="dxa"/>
            <w:gridSpan w:val="6"/>
            <w:vAlign w:val="center"/>
          </w:tcPr>
          <w:p>
            <w:pPr>
              <w:spacing w:after="0"/>
              <w:jc w:val="center"/>
              <w:rPr>
                <w:rFonts w:ascii="宋体" w:hAnsi="宋体" w:eastAsia="宋体"/>
                <w:b/>
                <w:color w:val="auto"/>
                <w:sz w:val="21"/>
                <w:szCs w:val="21"/>
              </w:rPr>
            </w:pPr>
            <w:r>
              <w:rPr>
                <w:rFonts w:hint="eastAsia" w:ascii="宋体" w:hAnsi="宋体" w:eastAsia="宋体"/>
                <w:b/>
                <w:color w:val="auto"/>
                <w:sz w:val="21"/>
                <w:szCs w:val="21"/>
              </w:rPr>
              <w:t>四、授予合同</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39"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17</w:t>
            </w:r>
          </w:p>
        </w:tc>
        <w:tc>
          <w:tcPr>
            <w:tcW w:w="7532" w:type="dxa"/>
            <w:gridSpan w:val="5"/>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履约保证金</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shd w:val="clear" w:color="auto" w:fill="auto"/>
            <w:vAlign w:val="center"/>
          </w:tcPr>
          <w:p>
            <w:pPr>
              <w:spacing w:after="0"/>
              <w:jc w:val="both"/>
              <w:rPr>
                <w:rFonts w:ascii="宋体" w:hAnsi="宋体" w:eastAsia="宋体"/>
                <w:b/>
                <w:color w:val="auto"/>
                <w:sz w:val="21"/>
                <w:szCs w:val="21"/>
              </w:rPr>
            </w:pPr>
            <w:r>
              <w:rPr>
                <w:rFonts w:hint="eastAsia" w:ascii="宋体" w:hAnsi="宋体" w:eastAsia="宋体"/>
                <w:color w:val="auto"/>
                <w:sz w:val="21"/>
                <w:szCs w:val="21"/>
              </w:rPr>
              <w:t>履约保证金的数额为政府采购合同金额的5%。</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565" w:hRule="atLeast"/>
        </w:trPr>
        <w:tc>
          <w:tcPr>
            <w:tcW w:w="878" w:type="dxa"/>
            <w:vMerge w:val="restart"/>
            <w:vAlign w:val="center"/>
          </w:tcPr>
          <w:p>
            <w:pPr>
              <w:spacing w:after="0"/>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18</w:t>
            </w:r>
          </w:p>
        </w:tc>
        <w:tc>
          <w:tcPr>
            <w:tcW w:w="7532" w:type="dxa"/>
            <w:gridSpan w:val="5"/>
            <w:vAlign w:val="center"/>
          </w:tcPr>
          <w:p>
            <w:pPr>
              <w:spacing w:after="0"/>
              <w:jc w:val="both"/>
              <w:rPr>
                <w:rFonts w:ascii="宋体" w:hAnsi="宋体" w:eastAsia="宋体"/>
                <w:b/>
                <w:color w:val="auto"/>
                <w:sz w:val="21"/>
                <w:szCs w:val="21"/>
              </w:rPr>
            </w:pPr>
            <w:r>
              <w:rPr>
                <w:rFonts w:hint="eastAsia" w:ascii="宋体" w:hAnsi="宋体" w:eastAsia="宋体"/>
                <w:b/>
                <w:color w:val="auto"/>
                <w:sz w:val="21"/>
                <w:szCs w:val="21"/>
              </w:rPr>
              <w:t>中标服务费</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中标服务费根据国家计委[计价格[2002]1980号]文和国家发改委[发改价格[2011]534号]文及相关规定向中标单位收取，按差额定率累进法计算，以中标通知书中确定的中标总金额作为收费的计算依据；中标服务费最低收费标准为伍仟元整。</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1170" w:hRule="atLeast"/>
        </w:trPr>
        <w:tc>
          <w:tcPr>
            <w:tcW w:w="878" w:type="dxa"/>
            <w:vMerge w:val="continue"/>
            <w:vAlign w:val="center"/>
          </w:tcPr>
          <w:p>
            <w:pPr>
              <w:spacing w:after="0"/>
              <w:jc w:val="center"/>
              <w:rPr>
                <w:rFonts w:ascii="宋体" w:hAnsi="宋体" w:eastAsia="宋体"/>
                <w:color w:val="auto"/>
                <w:sz w:val="21"/>
                <w:szCs w:val="21"/>
              </w:rPr>
            </w:pPr>
          </w:p>
        </w:tc>
        <w:tc>
          <w:tcPr>
            <w:tcW w:w="7532" w:type="dxa"/>
            <w:gridSpan w:val="5"/>
            <w:vAlign w:val="center"/>
          </w:tcPr>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（2）中标服务费以转账或现金的形式支付。采购代理机构服务费汇入账号：</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收 款 人：三方诚信招标有限公司东莞分公司</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开户银行：中国工商银行东莞市分行</w:t>
            </w:r>
          </w:p>
          <w:p>
            <w:pPr>
              <w:widowControl w:val="0"/>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账　　号：2010021309900018461</w:t>
            </w:r>
          </w:p>
        </w:tc>
      </w:tr>
      <w:tr>
        <w:tblPrEx>
          <w:tblBorders>
            <w:top w:val="thinThickLargeGap" w:color="auto" w:sz="24" w:space="0"/>
            <w:left w:val="thinThickLargeGap" w:color="auto" w:sz="24" w:space="0"/>
            <w:bottom w:val="thickThinLargeGap" w:color="auto" w:sz="24" w:space="0"/>
            <w:right w:val="thickThinLargeGap" w:color="auto" w:sz="24" w:space="0"/>
            <w:insideH w:val="single" w:color="auto" w:sz="4" w:space="0"/>
            <w:insideV w:val="single" w:color="auto" w:sz="4" w:space="0"/>
          </w:tblBorders>
          <w:tblCellMar>
            <w:top w:w="0" w:type="dxa"/>
            <w:left w:w="28" w:type="dxa"/>
            <w:bottom w:w="0" w:type="dxa"/>
            <w:right w:w="28" w:type="dxa"/>
          </w:tblCellMar>
        </w:tblPrEx>
        <w:trPr>
          <w:trHeight w:val="820" w:hRule="atLeast"/>
        </w:trPr>
        <w:tc>
          <w:tcPr>
            <w:tcW w:w="8410" w:type="dxa"/>
            <w:gridSpan w:val="6"/>
            <w:vAlign w:val="center"/>
          </w:tcPr>
          <w:p>
            <w:pPr>
              <w:widowControl w:val="0"/>
              <w:tabs>
                <w:tab w:val="left" w:pos="907"/>
              </w:tabs>
              <w:adjustRightInd/>
              <w:snapToGrid/>
              <w:spacing w:after="0"/>
              <w:ind w:firstLine="420" w:firstLineChars="200"/>
              <w:jc w:val="both"/>
              <w:rPr>
                <w:rFonts w:ascii="宋体" w:hAnsi="宋体" w:eastAsia="宋体"/>
                <w:color w:val="auto"/>
                <w:sz w:val="21"/>
                <w:szCs w:val="21"/>
              </w:rPr>
            </w:pPr>
            <w:r>
              <w:rPr>
                <w:rFonts w:hint="eastAsia" w:ascii="宋体" w:hAnsi="宋体" w:eastAsia="宋体"/>
                <w:color w:val="auto"/>
                <w:sz w:val="21"/>
                <w:szCs w:val="21"/>
              </w:rPr>
              <w:t>注：本表关于要采购项目的具体资料，是对投标人须知的具体补充和修改，如有矛盾，应以本资料表为准。</w:t>
            </w:r>
          </w:p>
        </w:tc>
      </w:tr>
    </w:tbl>
    <w:p>
      <w:pPr>
        <w:jc w:val="center"/>
        <w:rPr>
          <w:color w:val="auto"/>
        </w:rPr>
      </w:pPr>
      <w:r>
        <w:rPr>
          <w:rFonts w:hint="eastAsia"/>
          <w:color w:val="auto"/>
        </w:rPr>
        <w:br w:type="page"/>
      </w:r>
    </w:p>
    <w:p>
      <w:pPr>
        <w:pStyle w:val="3"/>
        <w:spacing w:before="0" w:after="0" w:line="240" w:lineRule="auto"/>
        <w:jc w:val="center"/>
        <w:rPr>
          <w:color w:val="auto"/>
        </w:rPr>
      </w:pPr>
      <w:bookmarkStart w:id="3" w:name="_Toc9572"/>
      <w:r>
        <w:rPr>
          <w:rFonts w:hint="eastAsia" w:ascii="宋体" w:hAnsi="宋体" w:eastAsia="宋体" w:cs="宋体"/>
          <w:color w:val="auto"/>
          <w:sz w:val="24"/>
          <w:szCs w:val="24"/>
        </w:rPr>
        <w:t>附表二：商务技术评分及价格权重表</w:t>
      </w:r>
      <w:bookmarkEnd w:id="3"/>
    </w:p>
    <w:p>
      <w:pPr>
        <w:rPr>
          <w:color w:val="auto"/>
        </w:rPr>
      </w:pPr>
    </w:p>
    <w:tbl>
      <w:tblPr>
        <w:tblStyle w:val="1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569"/>
        <w:gridCol w:w="820"/>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5" w:type="dxa"/>
            <w:noWrap w:val="0"/>
            <w:vAlign w:val="center"/>
          </w:tcPr>
          <w:p>
            <w:pPr>
              <w:pStyle w:val="27"/>
              <w:spacing w:afterLines="20" w:line="38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序号</w:t>
            </w:r>
          </w:p>
        </w:tc>
        <w:tc>
          <w:tcPr>
            <w:tcW w:w="1569" w:type="dxa"/>
            <w:noWrap w:val="0"/>
            <w:vAlign w:val="center"/>
          </w:tcPr>
          <w:p>
            <w:pPr>
              <w:pStyle w:val="27"/>
              <w:spacing w:afterLines="20" w:line="38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评分内容</w:t>
            </w:r>
          </w:p>
        </w:tc>
        <w:tc>
          <w:tcPr>
            <w:tcW w:w="820" w:type="dxa"/>
            <w:noWrap w:val="0"/>
            <w:vAlign w:val="center"/>
          </w:tcPr>
          <w:p>
            <w:pPr>
              <w:pStyle w:val="27"/>
              <w:spacing w:afterLines="20" w:line="38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分值</w:t>
            </w:r>
          </w:p>
        </w:tc>
        <w:tc>
          <w:tcPr>
            <w:tcW w:w="5444" w:type="dxa"/>
            <w:noWrap w:val="0"/>
            <w:vAlign w:val="center"/>
          </w:tcPr>
          <w:p>
            <w:pPr>
              <w:pStyle w:val="27"/>
              <w:spacing w:afterLines="20" w:line="38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8528" w:type="dxa"/>
            <w:gridSpan w:val="4"/>
            <w:noWrap w:val="0"/>
            <w:vAlign w:val="center"/>
          </w:tcPr>
          <w:p>
            <w:pPr>
              <w:pStyle w:val="27"/>
              <w:spacing w:afterLines="20" w:line="380" w:lineRule="exact"/>
              <w:ind w:firstLine="0" w:firstLineChars="0"/>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商务评审细则（</w:t>
            </w:r>
            <w:r>
              <w:rPr>
                <w:rFonts w:hint="eastAsia" w:ascii="宋体" w:hAnsi="宋体" w:eastAsia="宋体" w:cs="宋体"/>
                <w:b/>
                <w:color w:val="auto"/>
                <w:sz w:val="21"/>
                <w:szCs w:val="21"/>
                <w:lang w:val="en-US" w:eastAsia="zh-CN"/>
              </w:rPr>
              <w:t>1</w:t>
            </w:r>
            <w:r>
              <w:rPr>
                <w:rFonts w:hint="eastAsia" w:ascii="宋体" w:eastAsia="宋体" w:cs="宋体"/>
                <w:b/>
                <w:color w:val="auto"/>
                <w:sz w:val="21"/>
                <w:szCs w:val="21"/>
                <w:lang w:val="en-US" w:eastAsia="zh-CN"/>
              </w:rPr>
              <w:t>5</w:t>
            </w:r>
            <w:r>
              <w:rPr>
                <w:rFonts w:hint="eastAsia" w:ascii="宋体" w:hAnsi="宋体" w:eastAsia="宋体" w:cs="宋体"/>
                <w:b/>
                <w:color w:val="auto"/>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695" w:type="dxa"/>
            <w:noWrap w:val="0"/>
            <w:vAlign w:val="center"/>
          </w:tcPr>
          <w:p>
            <w:pPr>
              <w:spacing w:beforeLines="10" w:afterLines="30" w:line="3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1</w:t>
            </w:r>
          </w:p>
        </w:tc>
        <w:tc>
          <w:tcPr>
            <w:tcW w:w="1569" w:type="dxa"/>
            <w:noWrap w:val="0"/>
            <w:vAlign w:val="center"/>
          </w:tcPr>
          <w:p>
            <w:pPr>
              <w:spacing w:beforeLines="10" w:after="30" w:line="3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企业信用</w:t>
            </w:r>
          </w:p>
        </w:tc>
        <w:tc>
          <w:tcPr>
            <w:tcW w:w="820" w:type="dxa"/>
            <w:noWrap w:val="0"/>
            <w:vAlign w:val="center"/>
          </w:tcPr>
          <w:p>
            <w:pPr>
              <w:widowControl/>
              <w:spacing w:beforeLines="10" w:after="30" w:line="38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3分</w:t>
            </w:r>
          </w:p>
        </w:tc>
        <w:tc>
          <w:tcPr>
            <w:tcW w:w="5444" w:type="dxa"/>
            <w:noWrap w:val="0"/>
            <w:vAlign w:val="center"/>
          </w:tcPr>
          <w:p>
            <w:pPr>
              <w:pStyle w:val="27"/>
              <w:keepNext w:val="0"/>
              <w:keepLines w:val="0"/>
              <w:pageBreakBefore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Cs/>
                <w:color w:val="auto"/>
                <w:sz w:val="21"/>
                <w:szCs w:val="21"/>
                <w:lang w:val="zh-CN"/>
              </w:rPr>
            </w:pPr>
            <w:r>
              <w:rPr>
                <w:rFonts w:hint="eastAsia" w:ascii="宋体" w:eastAsia="宋体" w:cs="宋体"/>
                <w:bCs/>
                <w:color w:val="auto"/>
                <w:sz w:val="21"/>
                <w:szCs w:val="21"/>
                <w:lang w:val="en-US" w:eastAsia="zh-CN"/>
              </w:rPr>
              <w:t>投标人2016年至今有</w:t>
            </w:r>
            <w:r>
              <w:rPr>
                <w:rFonts w:hint="eastAsia" w:ascii="宋体" w:hAnsi="宋体" w:eastAsia="宋体" w:cs="宋体"/>
                <w:bCs/>
                <w:color w:val="auto"/>
                <w:sz w:val="21"/>
                <w:szCs w:val="21"/>
                <w:lang w:val="zh-CN"/>
              </w:rPr>
              <w:t>获得工商行政管理部门或市场监督部门</w:t>
            </w:r>
            <w:r>
              <w:rPr>
                <w:rFonts w:hint="eastAsia" w:ascii="宋体" w:eastAsia="宋体" w:cs="宋体"/>
                <w:bCs/>
                <w:color w:val="auto"/>
                <w:sz w:val="21"/>
                <w:szCs w:val="21"/>
                <w:lang w:val="zh-CN"/>
              </w:rPr>
              <w:t>（</w:t>
            </w:r>
            <w:r>
              <w:rPr>
                <w:rFonts w:hint="eastAsia" w:ascii="宋体" w:hAnsi="宋体" w:eastAsia="宋体" w:cs="宋体"/>
                <w:bCs/>
                <w:color w:val="auto"/>
                <w:sz w:val="21"/>
                <w:szCs w:val="21"/>
                <w:lang w:val="zh-CN"/>
              </w:rPr>
              <w:t>如投标人注册所在地的上述部门不再颁发的，则所在地的相关协会颁发的同等认可</w:t>
            </w:r>
            <w:r>
              <w:rPr>
                <w:rFonts w:hint="eastAsia" w:ascii="宋体" w:eastAsia="宋体" w:cs="宋体"/>
                <w:bCs/>
                <w:color w:val="auto"/>
                <w:sz w:val="21"/>
                <w:szCs w:val="21"/>
                <w:lang w:val="zh-CN"/>
              </w:rPr>
              <w:t>）</w:t>
            </w:r>
            <w:r>
              <w:rPr>
                <w:rFonts w:hint="eastAsia" w:ascii="宋体" w:hAnsi="宋体" w:eastAsia="宋体" w:cs="宋体"/>
                <w:bCs/>
                <w:color w:val="auto"/>
                <w:sz w:val="21"/>
                <w:szCs w:val="21"/>
                <w:lang w:val="zh-CN"/>
              </w:rPr>
              <w:t>颁发的“守合同重信用企业”或“重合同守信用”证书</w:t>
            </w:r>
            <w:r>
              <w:rPr>
                <w:rFonts w:hint="eastAsia" w:ascii="宋体" w:hAnsi="宋体" w:eastAsia="宋体" w:cs="宋体"/>
                <w:bCs/>
                <w:color w:val="auto"/>
                <w:sz w:val="21"/>
                <w:szCs w:val="21"/>
                <w:lang w:val="en-US" w:eastAsia="zh-CN"/>
              </w:rPr>
              <w:t>得</w:t>
            </w:r>
            <w:r>
              <w:rPr>
                <w:rFonts w:hint="eastAsia" w:ascii="宋体" w:eastAsia="宋体" w:cs="宋体"/>
                <w:bCs/>
                <w:color w:val="auto"/>
                <w:sz w:val="21"/>
                <w:szCs w:val="21"/>
                <w:lang w:val="en-US" w:eastAsia="zh-CN"/>
              </w:rPr>
              <w:t>3</w:t>
            </w:r>
            <w:r>
              <w:rPr>
                <w:rFonts w:hint="eastAsia" w:ascii="宋体" w:hAnsi="宋体" w:eastAsia="宋体" w:cs="宋体"/>
                <w:bCs/>
                <w:color w:val="auto"/>
                <w:sz w:val="21"/>
                <w:szCs w:val="21"/>
                <w:lang w:val="en-US" w:eastAsia="zh-CN"/>
              </w:rPr>
              <w:t>分</w:t>
            </w:r>
            <w:r>
              <w:rPr>
                <w:rFonts w:hint="eastAsia" w:ascii="宋体" w:hAnsi="宋体" w:eastAsia="宋体" w:cs="宋体"/>
                <w:bCs/>
                <w:color w:val="auto"/>
                <w:sz w:val="21"/>
                <w:szCs w:val="21"/>
                <w:lang w:val="zh-CN"/>
              </w:rPr>
              <w:t>；</w:t>
            </w:r>
          </w:p>
          <w:p>
            <w:pPr>
              <w:spacing w:beforeLines="10" w:after="30" w:line="380" w:lineRule="exact"/>
              <w:rPr>
                <w:rFonts w:hint="eastAsia" w:ascii="宋体" w:hAnsi="宋体" w:eastAsia="宋体" w:cs="宋体"/>
                <w:color w:val="auto"/>
                <w:sz w:val="21"/>
                <w:szCs w:val="21"/>
              </w:rPr>
            </w:pPr>
            <w:r>
              <w:rPr>
                <w:rFonts w:hint="eastAsia" w:ascii="宋体" w:hAnsi="宋体" w:eastAsia="宋体" w:cs="宋体"/>
                <w:bCs/>
                <w:color w:val="auto"/>
                <w:sz w:val="21"/>
                <w:szCs w:val="21"/>
              </w:rPr>
              <w:t>注：须提供证书复印件加盖投标人公章。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695" w:type="dxa"/>
            <w:noWrap w:val="0"/>
            <w:vAlign w:val="center"/>
          </w:tcPr>
          <w:p>
            <w:pPr>
              <w:spacing w:beforeLines="10" w:afterLines="30" w:line="380" w:lineRule="exact"/>
              <w:jc w:val="center"/>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2</w:t>
            </w:r>
          </w:p>
        </w:tc>
        <w:tc>
          <w:tcPr>
            <w:tcW w:w="1569" w:type="dxa"/>
            <w:noWrap w:val="0"/>
            <w:vAlign w:val="center"/>
          </w:tcPr>
          <w:p>
            <w:pPr>
              <w:spacing w:beforeLines="10" w:after="30" w:line="3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业绩</w:t>
            </w:r>
          </w:p>
        </w:tc>
        <w:tc>
          <w:tcPr>
            <w:tcW w:w="820" w:type="dxa"/>
            <w:noWrap w:val="0"/>
            <w:vAlign w:val="center"/>
          </w:tcPr>
          <w:p>
            <w:pPr>
              <w:widowControl/>
              <w:spacing w:beforeLines="10" w:after="30" w:line="380" w:lineRule="exact"/>
              <w:jc w:val="center"/>
              <w:rPr>
                <w:rFonts w:hint="eastAsia" w:ascii="宋体" w:hAnsi="宋体" w:eastAsia="宋体" w:cs="宋体"/>
                <w:bCs/>
                <w:color w:val="auto"/>
                <w:sz w:val="21"/>
                <w:szCs w:val="21"/>
              </w:rPr>
            </w:pPr>
            <w:r>
              <w:rPr>
                <w:rFonts w:hint="eastAsia" w:ascii="宋体" w:hAnsi="宋体" w:eastAsia="宋体" w:cs="宋体"/>
                <w:bCs/>
                <w:color w:val="auto"/>
                <w:sz w:val="21"/>
                <w:szCs w:val="21"/>
              </w:rPr>
              <w:t>1</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p>
        </w:tc>
        <w:tc>
          <w:tcPr>
            <w:tcW w:w="5444" w:type="dxa"/>
            <w:noWrap w:val="0"/>
            <w:vAlign w:val="center"/>
          </w:tcPr>
          <w:p>
            <w:pPr>
              <w:spacing w:beforeLines="10" w:after="30" w:line="3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根据投标人201</w:t>
            </w:r>
            <w:r>
              <w:rPr>
                <w:rFonts w:hint="eastAsia" w:ascii="宋体" w:hAnsi="宋体" w:eastAsia="宋体" w:cs="宋体"/>
                <w:bCs/>
                <w:color w:val="auto"/>
                <w:sz w:val="21"/>
                <w:szCs w:val="21"/>
                <w:lang w:val="en-US" w:eastAsia="zh-CN"/>
              </w:rPr>
              <w:t>6</w:t>
            </w:r>
            <w:r>
              <w:rPr>
                <w:rFonts w:hint="eastAsia" w:ascii="宋体" w:hAnsi="宋体" w:eastAsia="宋体" w:cs="宋体"/>
                <w:bCs/>
                <w:color w:val="auto"/>
                <w:sz w:val="21"/>
                <w:szCs w:val="21"/>
              </w:rPr>
              <w:t>年至今完成类似审计监督服务项目进行评审，每提供一个得3分，最高得1</w:t>
            </w:r>
            <w:r>
              <w:rPr>
                <w:rFonts w:hint="eastAsia" w:ascii="宋体" w:hAnsi="宋体" w:eastAsia="宋体" w:cs="宋体"/>
                <w:bCs/>
                <w:color w:val="auto"/>
                <w:sz w:val="21"/>
                <w:szCs w:val="21"/>
                <w:lang w:val="en-US" w:eastAsia="zh-CN"/>
              </w:rPr>
              <w:t>2</w:t>
            </w:r>
            <w:r>
              <w:rPr>
                <w:rFonts w:hint="eastAsia" w:ascii="宋体" w:hAnsi="宋体" w:eastAsia="宋体" w:cs="宋体"/>
                <w:bCs/>
                <w:color w:val="auto"/>
                <w:sz w:val="21"/>
                <w:szCs w:val="21"/>
              </w:rPr>
              <w:t>分。</w:t>
            </w:r>
          </w:p>
          <w:p>
            <w:pPr>
              <w:spacing w:beforeLines="10" w:after="30" w:line="380" w:lineRule="exact"/>
              <w:rPr>
                <w:rFonts w:hint="eastAsia" w:ascii="宋体" w:hAnsi="宋体" w:eastAsia="宋体" w:cs="宋体"/>
                <w:bCs/>
                <w:color w:val="auto"/>
                <w:sz w:val="21"/>
                <w:szCs w:val="21"/>
              </w:rPr>
            </w:pPr>
            <w:r>
              <w:rPr>
                <w:rFonts w:hint="eastAsia" w:ascii="宋体" w:hAnsi="宋体" w:eastAsia="宋体" w:cs="宋体"/>
                <w:bCs/>
                <w:color w:val="auto"/>
                <w:sz w:val="21"/>
                <w:szCs w:val="21"/>
              </w:rPr>
              <w:t>注：须提供合同复印件加盖投标人公章。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528" w:type="dxa"/>
            <w:gridSpan w:val="4"/>
            <w:noWrap w:val="0"/>
            <w:vAlign w:val="center"/>
          </w:tcPr>
          <w:p>
            <w:pPr>
              <w:pStyle w:val="27"/>
              <w:spacing w:afterLines="20" w:line="380" w:lineRule="exact"/>
              <w:ind w:firstLine="0" w:firstLineChars="0"/>
              <w:jc w:val="center"/>
              <w:rPr>
                <w:rFonts w:hint="eastAsia" w:ascii="宋体" w:hAnsi="宋体" w:eastAsia="宋体" w:cs="宋体"/>
                <w:sz w:val="21"/>
                <w:szCs w:val="21"/>
              </w:rPr>
            </w:pPr>
            <w:r>
              <w:rPr>
                <w:rFonts w:hint="eastAsia" w:ascii="宋体" w:hAnsi="宋体" w:eastAsia="宋体" w:cs="宋体"/>
                <w:b/>
                <w:sz w:val="21"/>
                <w:szCs w:val="21"/>
              </w:rPr>
              <w:t>技术评审细则（</w:t>
            </w:r>
            <w:r>
              <w:rPr>
                <w:rFonts w:hint="eastAsia" w:ascii="宋体" w:eastAsia="宋体" w:cs="宋体"/>
                <w:b/>
                <w:sz w:val="21"/>
                <w:szCs w:val="21"/>
                <w:lang w:val="en-US" w:eastAsia="zh-CN"/>
              </w:rPr>
              <w:t>7</w:t>
            </w:r>
            <w:r>
              <w:rPr>
                <w:rFonts w:hint="eastAsia" w:ascii="宋体" w:hAnsi="宋体" w:eastAsia="宋体" w:cs="宋体"/>
                <w:b/>
                <w:sz w:val="21"/>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695" w:type="dxa"/>
            <w:noWrap w:val="0"/>
            <w:vAlign w:val="center"/>
          </w:tcPr>
          <w:p>
            <w:pPr>
              <w:spacing w:beforeLines="10" w:afterLines="30" w:line="3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1569" w:type="dxa"/>
            <w:noWrap w:val="0"/>
            <w:vAlign w:val="center"/>
          </w:tcPr>
          <w:p>
            <w:pPr>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服务方案</w:t>
            </w:r>
          </w:p>
        </w:tc>
        <w:tc>
          <w:tcPr>
            <w:tcW w:w="820" w:type="dxa"/>
            <w:noWrap w:val="0"/>
            <w:vAlign w:val="center"/>
          </w:tcPr>
          <w:p>
            <w:pPr>
              <w:widowControl/>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15分</w:t>
            </w:r>
          </w:p>
        </w:tc>
        <w:tc>
          <w:tcPr>
            <w:tcW w:w="5444" w:type="dxa"/>
            <w:noWrap w:val="0"/>
            <w:vAlign w:val="center"/>
          </w:tcPr>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根据投标人提供的项目实施方案的可行性以及对项目的熟悉程度等进行横向综合评审；</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1.项目实施方案非常可行，项目理解十分准确，分析十分清晰的得15分；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2.项目实施方案较可行，项目理解准确，分析清晰的得的得1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3.项目实施方案简单，项目理解基本准确，分析基本清晰的得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4.项目实施方案简单，项目不熟悉的得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695" w:type="dxa"/>
            <w:noWrap w:val="0"/>
            <w:vAlign w:val="center"/>
          </w:tcPr>
          <w:p>
            <w:pPr>
              <w:spacing w:beforeLines="10" w:afterLines="30" w:line="380" w:lineRule="exact"/>
              <w:jc w:val="center"/>
              <w:rPr>
                <w:rFonts w:hint="eastAsia" w:ascii="宋体" w:hAnsi="宋体" w:eastAsia="宋体" w:cs="宋体"/>
                <w:sz w:val="21"/>
                <w:szCs w:val="21"/>
              </w:rPr>
            </w:pPr>
            <w:r>
              <w:rPr>
                <w:rFonts w:hint="eastAsia" w:ascii="宋体" w:hAnsi="宋体" w:eastAsia="宋体" w:cs="宋体"/>
                <w:sz w:val="21"/>
                <w:szCs w:val="21"/>
              </w:rPr>
              <w:t>2</w:t>
            </w:r>
          </w:p>
        </w:tc>
        <w:tc>
          <w:tcPr>
            <w:tcW w:w="1569" w:type="dxa"/>
            <w:noWrap w:val="0"/>
            <w:vAlign w:val="center"/>
          </w:tcPr>
          <w:p>
            <w:pPr>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重点、难点及解决措施</w:t>
            </w:r>
          </w:p>
        </w:tc>
        <w:tc>
          <w:tcPr>
            <w:tcW w:w="820" w:type="dxa"/>
            <w:noWrap w:val="0"/>
            <w:vAlign w:val="center"/>
          </w:tcPr>
          <w:p>
            <w:pPr>
              <w:widowControl/>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tc>
        <w:tc>
          <w:tcPr>
            <w:tcW w:w="5444" w:type="dxa"/>
            <w:noWrap w:val="0"/>
            <w:vAlign w:val="center"/>
          </w:tcPr>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投标人能根据行业经验，能结合审计本项目的特殊情况提出的重点、难点及有解决可行的措施等进行横向综合评审；</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1.对项目重点、难点的理解非常到位、清晰；解决的措施方案非常科学合理，有利于项目实施的得1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2.对项目重点、难点的理解比较到位、清晰，符合项目情况；解决的措施方案比较科学合理，有利于项目实施的得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3.对项目重点、难点的理解到位、清晰，基本符合项目情况；解决的措施方案科学合理的得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4.基本理解项目的重点难点，提出的解决措施科学合理性一般的得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695" w:type="dxa"/>
            <w:noWrap w:val="0"/>
            <w:vAlign w:val="center"/>
          </w:tcPr>
          <w:p>
            <w:pPr>
              <w:spacing w:beforeLines="10" w:afterLines="30" w:line="380" w:lineRule="exact"/>
              <w:jc w:val="center"/>
              <w:rPr>
                <w:rFonts w:hint="eastAsia" w:ascii="宋体" w:hAnsi="宋体" w:eastAsia="宋体" w:cs="宋体"/>
                <w:sz w:val="21"/>
                <w:szCs w:val="21"/>
              </w:rPr>
            </w:pPr>
            <w:r>
              <w:rPr>
                <w:rFonts w:hint="eastAsia" w:ascii="宋体" w:hAnsi="宋体" w:eastAsia="宋体" w:cs="宋体"/>
                <w:sz w:val="21"/>
                <w:szCs w:val="21"/>
              </w:rPr>
              <w:t>3</w:t>
            </w:r>
          </w:p>
        </w:tc>
        <w:tc>
          <w:tcPr>
            <w:tcW w:w="1569" w:type="dxa"/>
            <w:noWrap w:val="0"/>
            <w:vAlign w:val="center"/>
          </w:tcPr>
          <w:p>
            <w:pPr>
              <w:spacing w:beforeLines="10" w:after="30" w:line="380" w:lineRule="exact"/>
              <w:jc w:val="center"/>
              <w:rPr>
                <w:rFonts w:hint="eastAsia" w:ascii="宋体" w:hAnsi="宋体" w:eastAsia="宋体" w:cs="宋体"/>
                <w:bCs/>
                <w:sz w:val="21"/>
                <w:szCs w:val="21"/>
              </w:rPr>
            </w:pPr>
            <w:r>
              <w:rPr>
                <w:rFonts w:hint="eastAsia" w:ascii="宋体" w:hAnsi="宋体" w:eastAsia="宋体" w:cs="宋体"/>
                <w:bCs/>
                <w:sz w:val="21"/>
                <w:szCs w:val="21"/>
              </w:rPr>
              <w:t>公司制度</w:t>
            </w:r>
          </w:p>
        </w:tc>
        <w:tc>
          <w:tcPr>
            <w:tcW w:w="820" w:type="dxa"/>
            <w:noWrap w:val="0"/>
            <w:vAlign w:val="center"/>
          </w:tcPr>
          <w:p>
            <w:pPr>
              <w:widowControl/>
              <w:spacing w:beforeLines="10" w:after="30" w:line="380" w:lineRule="exact"/>
              <w:jc w:val="center"/>
              <w:rPr>
                <w:rFonts w:hint="eastAsia" w:ascii="宋体" w:hAnsi="宋体" w:eastAsia="宋体" w:cs="宋体"/>
                <w:bCs/>
                <w:sz w:val="21"/>
                <w:szCs w:val="21"/>
              </w:rPr>
            </w:pPr>
            <w:r>
              <w:rPr>
                <w:rFonts w:hint="eastAsia" w:ascii="宋体" w:hAnsi="宋体" w:eastAsia="宋体" w:cs="宋体"/>
                <w:bCs/>
                <w:sz w:val="21"/>
                <w:szCs w:val="21"/>
              </w:rPr>
              <w:t>1</w:t>
            </w:r>
            <w:r>
              <w:rPr>
                <w:rFonts w:hint="eastAsia" w:ascii="宋体" w:hAnsi="宋体" w:eastAsia="宋体" w:cs="宋体"/>
                <w:bCs/>
                <w:sz w:val="21"/>
                <w:szCs w:val="21"/>
                <w:lang w:val="en-US" w:eastAsia="zh-CN"/>
              </w:rPr>
              <w:t>5</w:t>
            </w:r>
            <w:r>
              <w:rPr>
                <w:rFonts w:hint="eastAsia" w:ascii="宋体" w:hAnsi="宋体" w:eastAsia="宋体" w:cs="宋体"/>
                <w:bCs/>
                <w:sz w:val="21"/>
                <w:szCs w:val="21"/>
              </w:rPr>
              <w:t>分</w:t>
            </w:r>
          </w:p>
        </w:tc>
        <w:tc>
          <w:tcPr>
            <w:tcW w:w="5444" w:type="dxa"/>
            <w:noWrap w:val="0"/>
            <w:vAlign w:val="center"/>
          </w:tcPr>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根据投标人公司内部组织制度形式，人员配备及职能分配合理、审计工作制度具有针对性等进行横向综合评审；</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1.内部组织制度形式、人员配备及职能分配非常合理、审计工作制度针对性非常强的得1</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2.内部组织制度形式、人员配备及职能分配合理、审计工作制度针对性较强的得</w:t>
            </w:r>
            <w:r>
              <w:rPr>
                <w:rFonts w:hint="eastAsia" w:ascii="宋体" w:hAnsi="宋体" w:eastAsia="宋体" w:cs="宋体"/>
                <w:sz w:val="21"/>
                <w:szCs w:val="21"/>
                <w:lang w:val="en-US" w:eastAsia="zh-CN"/>
              </w:rPr>
              <w:t>10</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3.内部组织制度形式、人员配备及职能分配基本合理、审计工作制度针对性一般的得</w:t>
            </w:r>
            <w:r>
              <w:rPr>
                <w:rFonts w:hint="eastAsia" w:ascii="宋体" w:hAnsi="宋体" w:eastAsia="宋体" w:cs="宋体"/>
                <w:sz w:val="21"/>
                <w:szCs w:val="21"/>
                <w:lang w:val="en-US" w:eastAsia="zh-CN"/>
              </w:rPr>
              <w:t>5</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4.内部组织制度形式、人员配备及职能分配基本合理、审计工作制度针对性较差的得</w:t>
            </w:r>
            <w:r>
              <w:rPr>
                <w:rFonts w:hint="eastAsia" w:ascii="宋体" w:hAnsi="宋体" w:eastAsia="宋体" w:cs="宋体"/>
                <w:sz w:val="21"/>
                <w:szCs w:val="21"/>
                <w:lang w:val="en-US" w:eastAsia="zh-CN"/>
              </w:rPr>
              <w:t>1</w:t>
            </w:r>
            <w:r>
              <w:rPr>
                <w:rFonts w:hint="eastAsia" w:ascii="宋体" w:hAnsi="宋体" w:eastAsia="宋体" w:cs="宋体"/>
                <w:sz w:val="21"/>
                <w:szCs w:val="21"/>
              </w:rPr>
              <w:t>分；</w:t>
            </w:r>
          </w:p>
          <w:p>
            <w:pPr>
              <w:spacing w:beforeLines="10" w:after="30" w:line="380" w:lineRule="exact"/>
              <w:rPr>
                <w:rFonts w:hint="eastAsia" w:ascii="宋体" w:hAnsi="宋体" w:eastAsia="宋体" w:cs="宋体"/>
                <w:sz w:val="21"/>
                <w:szCs w:val="21"/>
              </w:rPr>
            </w:pPr>
            <w:r>
              <w:rPr>
                <w:rFonts w:hint="eastAsia" w:ascii="宋体" w:hAnsi="宋体" w:eastAsia="宋体" w:cs="宋体"/>
                <w:sz w:val="21"/>
                <w:szCs w:val="21"/>
              </w:rPr>
              <w:t>5.未提供不得分。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695" w:type="dxa"/>
            <w:noWrap w:val="0"/>
            <w:vAlign w:val="center"/>
          </w:tcPr>
          <w:p>
            <w:pPr>
              <w:spacing w:beforeLines="10" w:afterLines="30" w:line="380" w:lineRule="exact"/>
              <w:jc w:val="center"/>
              <w:rPr>
                <w:rFonts w:hint="eastAsia" w:ascii="宋体" w:hAnsi="宋体" w:eastAsia="宋体" w:cs="宋体"/>
                <w:sz w:val="21"/>
                <w:szCs w:val="21"/>
              </w:rPr>
            </w:pPr>
            <w:r>
              <w:rPr>
                <w:rFonts w:hint="eastAsia" w:ascii="宋体" w:hAnsi="宋体" w:eastAsia="宋体" w:cs="宋体"/>
                <w:sz w:val="21"/>
                <w:szCs w:val="21"/>
              </w:rPr>
              <w:t>4</w:t>
            </w:r>
          </w:p>
        </w:tc>
        <w:tc>
          <w:tcPr>
            <w:tcW w:w="1569" w:type="dxa"/>
            <w:noWrap w:val="0"/>
            <w:vAlign w:val="center"/>
          </w:tcPr>
          <w:p>
            <w:pPr>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保密措施及承诺</w:t>
            </w:r>
          </w:p>
        </w:tc>
        <w:tc>
          <w:tcPr>
            <w:tcW w:w="820" w:type="dxa"/>
            <w:noWrap w:val="0"/>
            <w:vAlign w:val="center"/>
          </w:tcPr>
          <w:p>
            <w:pPr>
              <w:widowControl/>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分</w:t>
            </w:r>
          </w:p>
        </w:tc>
        <w:tc>
          <w:tcPr>
            <w:tcW w:w="5444" w:type="dxa"/>
            <w:noWrap w:val="0"/>
            <w:vAlign w:val="center"/>
          </w:tcPr>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根据投标人提供涉密数据实时保密措施（或投标人指定的安全保密制度），档案资料保存情况方案进行横向综合评审；</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1.涉密数据实时保密措施（或指定的安全保密制度）完全满足或优于招标实际需求，档案资料保存方案非常完善、非常有利于项目后续使用查找的得10分；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2.涉密数据实时保密措施（或指定的安全保密制度）符合招标实际需求，档案资料保存方案比较完善、比较利于项目后续使用查找的得</w:t>
            </w:r>
            <w:r>
              <w:rPr>
                <w:rFonts w:hint="eastAsia" w:ascii="宋体" w:hAnsi="宋体" w:eastAsia="宋体" w:cs="宋体"/>
                <w:sz w:val="21"/>
                <w:szCs w:val="21"/>
                <w:lang w:val="en-US" w:eastAsia="zh-CN"/>
              </w:rPr>
              <w:t>7</w:t>
            </w:r>
            <w:r>
              <w:rPr>
                <w:rFonts w:hint="eastAsia" w:ascii="宋体" w:hAnsi="宋体" w:eastAsia="宋体" w:cs="宋体"/>
                <w:sz w:val="21"/>
                <w:szCs w:val="21"/>
              </w:rPr>
              <w:t>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3.涉密数据实时保密措施（或指定的安全保密制度）基本符合招标实际需求，档案资料保存方案完善度一般、基本有利于项目后续使用查找的得</w:t>
            </w:r>
            <w:r>
              <w:rPr>
                <w:rFonts w:hint="eastAsia" w:ascii="宋体" w:hAnsi="宋体" w:eastAsia="宋体" w:cs="宋体"/>
                <w:sz w:val="21"/>
                <w:szCs w:val="21"/>
                <w:lang w:val="en-US" w:eastAsia="zh-CN"/>
              </w:rPr>
              <w:t>3</w:t>
            </w:r>
            <w:r>
              <w:rPr>
                <w:rFonts w:hint="eastAsia" w:ascii="宋体" w:hAnsi="宋体" w:eastAsia="宋体" w:cs="宋体"/>
                <w:sz w:val="21"/>
                <w:szCs w:val="21"/>
              </w:rPr>
              <w:t>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4.未提供不得分。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95" w:type="dxa"/>
            <w:noWrap w:val="0"/>
            <w:vAlign w:val="center"/>
          </w:tcPr>
          <w:p>
            <w:pPr>
              <w:spacing w:beforeLines="10" w:afterLines="30" w:line="380" w:lineRule="exact"/>
              <w:jc w:val="center"/>
              <w:rPr>
                <w:rFonts w:hint="eastAsia" w:ascii="宋体" w:hAnsi="宋体" w:eastAsia="宋体" w:cs="宋体"/>
                <w:sz w:val="21"/>
                <w:szCs w:val="21"/>
              </w:rPr>
            </w:pPr>
            <w:r>
              <w:rPr>
                <w:rFonts w:hint="eastAsia" w:ascii="宋体" w:hAnsi="宋体" w:eastAsia="宋体" w:cs="宋体"/>
                <w:sz w:val="21"/>
                <w:szCs w:val="21"/>
              </w:rPr>
              <w:t>5</w:t>
            </w:r>
          </w:p>
        </w:tc>
        <w:tc>
          <w:tcPr>
            <w:tcW w:w="1569" w:type="dxa"/>
            <w:noWrap w:val="0"/>
            <w:vAlign w:val="center"/>
          </w:tcPr>
          <w:p>
            <w:pPr>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拟投入本项目的技术力量</w:t>
            </w:r>
          </w:p>
        </w:tc>
        <w:tc>
          <w:tcPr>
            <w:tcW w:w="820" w:type="dxa"/>
            <w:noWrap w:val="0"/>
            <w:vAlign w:val="center"/>
          </w:tcPr>
          <w:p>
            <w:pPr>
              <w:widowControl/>
              <w:spacing w:beforeLines="10" w:after="30" w:line="380" w:lineRule="exact"/>
              <w:jc w:val="center"/>
              <w:rPr>
                <w:rFonts w:hint="eastAsia" w:ascii="宋体" w:hAnsi="宋体" w:eastAsia="宋体" w:cs="宋体"/>
                <w:sz w:val="21"/>
                <w:szCs w:val="21"/>
              </w:rPr>
            </w:pPr>
            <w:r>
              <w:rPr>
                <w:rFonts w:hint="eastAsia" w:ascii="宋体" w:hAnsi="宋体" w:eastAsia="宋体" w:cs="宋体"/>
                <w:sz w:val="21"/>
                <w:szCs w:val="21"/>
              </w:rPr>
              <w:t>20分</w:t>
            </w:r>
          </w:p>
        </w:tc>
        <w:tc>
          <w:tcPr>
            <w:tcW w:w="5444" w:type="dxa"/>
            <w:noWrap w:val="0"/>
            <w:vAlign w:val="center"/>
          </w:tcPr>
          <w:p>
            <w:pPr>
              <w:spacing w:beforeLines="10" w:after="30" w:line="380" w:lineRule="exact"/>
              <w:jc w:val="left"/>
              <w:rPr>
                <w:rFonts w:hint="eastAsia" w:ascii="宋体" w:hAnsi="宋体" w:eastAsia="宋体" w:cs="宋体"/>
                <w:sz w:val="21"/>
                <w:szCs w:val="21"/>
              </w:rPr>
            </w:pPr>
            <w:r>
              <w:rPr>
                <w:rFonts w:hint="eastAsia" w:ascii="宋体" w:hAnsi="宋体" w:eastAsia="宋体" w:cs="宋体"/>
                <w:sz w:val="21"/>
                <w:szCs w:val="21"/>
              </w:rPr>
              <w:t>根据投标人拟投入本项目人员满足招标文件用户需求人员配置基本要求的得10分，在满足招标文件用户需求人员配置基本要求的基础上每增加一名注册会计师人员的得5分，每增加一名中级会计师人员的得3分，每增加一名助理会计师人员的得2分；此项最高得20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color w:val="auto"/>
                <w:sz w:val="21"/>
                <w:szCs w:val="21"/>
              </w:rPr>
              <w:t>注：须提供人员证书及距开标当月前三个月投标人为其缴纳的社会保险凭证复印件加盖投标人公章。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528" w:type="dxa"/>
            <w:gridSpan w:val="4"/>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注：</w:t>
            </w:r>
          </w:p>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2" w:firstLineChars="200"/>
              <w:jc w:val="both"/>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（1）无特殊说明外，以上评审项，同一证明文件不重复计分。</w:t>
            </w:r>
          </w:p>
          <w:p>
            <w:pPr>
              <w:spacing w:beforeLines="10" w:after="30" w:line="380" w:lineRule="exact"/>
              <w:jc w:val="left"/>
              <w:rPr>
                <w:rFonts w:hint="eastAsia" w:ascii="宋体" w:hAnsi="宋体" w:eastAsia="宋体" w:cs="宋体"/>
                <w:sz w:val="21"/>
                <w:szCs w:val="21"/>
              </w:rPr>
            </w:pPr>
            <w:r>
              <w:rPr>
                <w:rFonts w:hint="eastAsia" w:ascii="宋体" w:hAnsi="宋体" w:eastAsia="宋体" w:cs="宋体"/>
                <w:b/>
                <w:color w:val="auto"/>
                <w:sz w:val="21"/>
                <w:szCs w:val="21"/>
              </w:rPr>
              <w:t>（2）投标人根据以上评分要求提供的</w:t>
            </w:r>
            <w:r>
              <w:rPr>
                <w:rFonts w:hint="eastAsia" w:ascii="宋体" w:hAnsi="宋体" w:eastAsia="宋体" w:cs="宋体"/>
                <w:b/>
                <w:color w:val="auto"/>
                <w:sz w:val="21"/>
                <w:szCs w:val="21"/>
                <w:lang w:eastAsia="zh-CN"/>
              </w:rPr>
              <w:t>投标材料</w:t>
            </w:r>
            <w:r>
              <w:rPr>
                <w:rFonts w:hint="eastAsia" w:ascii="宋体" w:hAnsi="宋体" w:eastAsia="宋体" w:cs="宋体"/>
                <w:b/>
                <w:color w:val="auto"/>
                <w:sz w:val="21"/>
                <w:szCs w:val="21"/>
              </w:rPr>
              <w:t>因模糊不清导致评标委员会无法清晰辨认进行评审的，</w:t>
            </w:r>
            <w:r>
              <w:rPr>
                <w:rFonts w:hint="eastAsia" w:ascii="宋体" w:hAnsi="宋体" w:eastAsia="宋体" w:cs="宋体"/>
                <w:b/>
                <w:color w:val="auto"/>
                <w:sz w:val="21"/>
                <w:szCs w:val="21"/>
                <w:lang w:eastAsia="zh-CN"/>
              </w:rPr>
              <w:t>视为无效材料</w:t>
            </w:r>
            <w:r>
              <w:rPr>
                <w:rFonts w:hint="eastAsia" w:ascii="宋体" w:hAnsi="宋体" w:eastAsia="宋体" w:cs="宋体"/>
                <w:b/>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8528" w:type="dxa"/>
            <w:gridSpan w:val="4"/>
            <w:noWrap w:val="0"/>
            <w:vAlign w:val="center"/>
          </w:tcPr>
          <w:p>
            <w:pPr>
              <w:spacing w:beforeLines="10" w:after="30" w:line="380" w:lineRule="exact"/>
              <w:jc w:val="center"/>
              <w:rPr>
                <w:rFonts w:hint="eastAsia" w:ascii="宋体" w:hAnsi="宋体" w:eastAsia="宋体" w:cs="宋体"/>
                <w:sz w:val="21"/>
                <w:szCs w:val="21"/>
              </w:rPr>
            </w:pPr>
            <w:r>
              <w:rPr>
                <w:rFonts w:hint="eastAsia" w:ascii="宋体" w:hAnsi="宋体" w:eastAsia="宋体" w:cs="宋体"/>
                <w:b/>
                <w:bCs/>
                <w:color w:val="auto"/>
                <w:sz w:val="21"/>
                <w:szCs w:val="21"/>
              </w:rPr>
              <w:t>价格评审</w:t>
            </w:r>
            <w:r>
              <w:rPr>
                <w:rFonts w:hint="eastAsia" w:ascii="宋体" w:hAnsi="宋体" w:eastAsia="宋体" w:cs="宋体"/>
                <w:b/>
                <w:bCs/>
                <w:color w:val="auto"/>
                <w:sz w:val="21"/>
                <w:szCs w:val="21"/>
                <w:lang w:eastAsia="zh-CN"/>
              </w:rPr>
              <w:t>（</w:t>
            </w:r>
            <w:r>
              <w:rPr>
                <w:rFonts w:hint="eastAsia" w:ascii="宋体" w:hAnsi="宋体" w:eastAsia="宋体" w:cs="宋体"/>
                <w:b/>
                <w:bCs/>
                <w:color w:val="auto"/>
                <w:sz w:val="21"/>
                <w:szCs w:val="21"/>
                <w:lang w:val="en-US" w:eastAsia="zh-CN"/>
              </w:rPr>
              <w:t>10分</w:t>
            </w:r>
            <w:r>
              <w:rPr>
                <w:rFonts w:hint="eastAsia" w:ascii="宋体" w:hAnsi="宋体" w:eastAsia="宋体" w:cs="宋体"/>
                <w:b/>
                <w:bCs/>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95" w:type="dxa"/>
            <w:noWrap w:val="0"/>
            <w:vAlign w:val="center"/>
          </w:tcPr>
          <w:p>
            <w:pPr>
              <w:pStyle w:val="27"/>
              <w:keepNext w:val="0"/>
              <w:keepLines w:val="0"/>
              <w:pageBreakBefore w:val="0"/>
              <w:kinsoku/>
              <w:wordWrap/>
              <w:overflowPunct/>
              <w:topLinePunct w:val="0"/>
              <w:autoSpaceDE/>
              <w:autoSpaceDN/>
              <w:bidi w:val="0"/>
              <w:spacing w:after="0" w:line="360" w:lineRule="auto"/>
              <w:ind w:firstLine="0" w:firstLineChars="0"/>
              <w:jc w:val="center"/>
              <w:textAlignment w:val="auto"/>
              <w:rPr>
                <w:rFonts w:hint="eastAsia" w:ascii="宋体" w:hAnsi="宋体" w:eastAsia="宋体" w:cs="宋体"/>
                <w:sz w:val="21"/>
                <w:szCs w:val="21"/>
              </w:rPr>
            </w:pPr>
            <w:r>
              <w:rPr>
                <w:rFonts w:hint="eastAsia" w:ascii="宋体" w:hAnsi="宋体" w:eastAsia="宋体" w:cs="宋体"/>
                <w:color w:val="auto"/>
                <w:sz w:val="21"/>
                <w:szCs w:val="21"/>
                <w:lang w:val="en-US" w:eastAsia="zh-CN"/>
              </w:rPr>
              <w:t>1</w:t>
            </w:r>
          </w:p>
        </w:tc>
        <w:tc>
          <w:tcPr>
            <w:tcW w:w="7833" w:type="dxa"/>
            <w:gridSpan w:val="3"/>
            <w:noWrap w:val="0"/>
            <w:vAlign w:val="center"/>
          </w:tcPr>
          <w:p>
            <w:pPr>
              <w:keepNext w:val="0"/>
              <w:keepLines w:val="0"/>
              <w:pageBreakBefore w:val="0"/>
              <w:widowControl w:val="0"/>
              <w:tabs>
                <w:tab w:val="left" w:pos="907"/>
              </w:tabs>
              <w:kinsoku/>
              <w:wordWrap/>
              <w:overflowPunct/>
              <w:topLinePunct w:val="0"/>
              <w:autoSpaceDE/>
              <w:autoSpaceDN/>
              <w:bidi w:val="0"/>
              <w:adjustRightInd/>
              <w:snapToGrid/>
              <w:spacing w:after="0" w:line="360" w:lineRule="auto"/>
              <w:ind w:firstLine="420" w:firstLineChars="200"/>
              <w:jc w:val="both"/>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价格分计算方法：满足招标文件要求且投标价格最低的投标报价为评标基准价，其价格分为满分。其他投标人的价格分统一按照下列公式计算：</w:t>
            </w:r>
          </w:p>
          <w:p>
            <w:pPr>
              <w:keepNext w:val="0"/>
              <w:keepLines w:val="0"/>
              <w:pageBreakBefore w:val="0"/>
              <w:kinsoku/>
              <w:wordWrap/>
              <w:overflowPunct/>
              <w:topLinePunct w:val="0"/>
              <w:autoSpaceDE/>
              <w:autoSpaceDN/>
              <w:bidi w:val="0"/>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color w:val="auto"/>
                <w:sz w:val="21"/>
                <w:szCs w:val="21"/>
              </w:rPr>
              <w:t>投标报价得分=(评标基准价／投标报价)×价格权值</w:t>
            </w:r>
          </w:p>
        </w:tc>
      </w:tr>
    </w:tbl>
    <w:p>
      <w:pPr>
        <w:pStyle w:val="2"/>
      </w:pPr>
    </w:p>
    <w:p>
      <w:pPr>
        <w:pStyle w:val="2"/>
        <w:spacing w:before="0" w:after="0" w:line="240" w:lineRule="auto"/>
        <w:rPr>
          <w:color w:val="auto"/>
          <w:sz w:val="36"/>
          <w:szCs w:val="36"/>
        </w:rPr>
      </w:pPr>
      <w:r>
        <w:rPr>
          <w:rFonts w:hint="eastAsia"/>
          <w:color w:val="auto"/>
          <w:sz w:val="28"/>
          <w:szCs w:val="28"/>
        </w:rPr>
        <w:br w:type="page"/>
      </w:r>
      <w:bookmarkStart w:id="4" w:name="_Toc31854"/>
      <w:r>
        <w:rPr>
          <w:rFonts w:hint="eastAsia"/>
          <w:color w:val="auto"/>
          <w:sz w:val="28"/>
          <w:szCs w:val="28"/>
        </w:rPr>
        <w:t>第三部分 用户需求书</w:t>
      </w:r>
      <w:bookmarkEnd w:id="4"/>
    </w:p>
    <w:p>
      <w:pPr>
        <w:pStyle w:val="3"/>
        <w:spacing w:before="0" w:after="0" w:line="240" w:lineRule="auto"/>
        <w:jc w:val="center"/>
        <w:rPr>
          <w:rFonts w:ascii="宋体" w:hAnsi="宋体" w:eastAsia="宋体" w:cs="宋体"/>
          <w:color w:val="auto"/>
          <w:sz w:val="24"/>
          <w:szCs w:val="24"/>
        </w:rPr>
      </w:pPr>
      <w:bookmarkStart w:id="5" w:name="_Toc3968"/>
      <w:r>
        <w:rPr>
          <w:rFonts w:hint="eastAsia" w:ascii="宋体" w:hAnsi="宋体" w:eastAsia="宋体" w:cs="宋体"/>
          <w:color w:val="auto"/>
          <w:sz w:val="24"/>
          <w:szCs w:val="24"/>
        </w:rPr>
        <w:t>用户需求明细</w:t>
      </w:r>
      <w:bookmarkEnd w:id="5"/>
    </w:p>
    <w:p>
      <w:pPr>
        <w:spacing w:after="0"/>
        <w:jc w:val="both"/>
        <w:rPr>
          <w:rFonts w:ascii="宋体" w:hAnsi="宋体" w:eastAsia="宋体"/>
          <w:b/>
          <w:color w:val="auto"/>
          <w:sz w:val="24"/>
        </w:rPr>
      </w:pP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bookmarkStart w:id="6" w:name="_Toc31278"/>
      <w:bookmarkStart w:id="7" w:name="_Toc14462"/>
      <w:bookmarkStart w:id="8" w:name="_Toc24679"/>
      <w:bookmarkStart w:id="9" w:name="_Toc13112"/>
      <w:r>
        <w:rPr>
          <w:rFonts w:hint="eastAsia" w:ascii="宋体" w:hAnsi="宋体" w:eastAsia="宋体" w:cs="宋体"/>
          <w:sz w:val="21"/>
          <w:szCs w:val="21"/>
        </w:rPr>
        <w:t>为全面摸清民政项目资金使用管理情况、结余抵扣情况和以前年度审计检查问题进行整改落实情况，我局以购买服务方式，委托第三方机构对拨付</w:t>
      </w:r>
      <w:r>
        <w:rPr>
          <w:rFonts w:hint="eastAsia" w:ascii="宋体" w:hAnsi="宋体" w:eastAsia="宋体" w:cs="宋体"/>
          <w:sz w:val="21"/>
          <w:szCs w:val="21"/>
          <w:lang w:eastAsia="zh-CN"/>
        </w:rPr>
        <w:t>至</w:t>
      </w:r>
      <w:r>
        <w:rPr>
          <w:rFonts w:hint="eastAsia" w:ascii="宋体" w:hAnsi="宋体" w:eastAsia="宋体" w:cs="宋体"/>
          <w:sz w:val="21"/>
          <w:szCs w:val="21"/>
        </w:rPr>
        <w:t>各</w:t>
      </w:r>
      <w:r>
        <w:rPr>
          <w:rFonts w:hint="eastAsia" w:ascii="宋体" w:hAnsi="宋体" w:eastAsia="宋体" w:cs="宋体"/>
          <w:sz w:val="21"/>
          <w:szCs w:val="21"/>
          <w:lang w:eastAsia="zh-CN"/>
        </w:rPr>
        <w:t>园区、</w:t>
      </w:r>
      <w:r>
        <w:rPr>
          <w:rFonts w:hint="eastAsia" w:ascii="宋体" w:hAnsi="宋体" w:eastAsia="宋体" w:cs="宋体"/>
          <w:sz w:val="21"/>
          <w:szCs w:val="21"/>
        </w:rPr>
        <w:t>镇街省级项目资金</w:t>
      </w:r>
      <w:r>
        <w:rPr>
          <w:rFonts w:hint="eastAsia" w:ascii="宋体" w:hAnsi="宋体" w:eastAsia="宋体" w:cs="宋体"/>
          <w:sz w:val="21"/>
          <w:szCs w:val="21"/>
          <w:lang w:eastAsia="zh-CN"/>
        </w:rPr>
        <w:t>和</w:t>
      </w:r>
      <w:r>
        <w:rPr>
          <w:rFonts w:hint="eastAsia" w:ascii="宋体" w:hAnsi="宋体" w:eastAsia="宋体" w:cs="宋体"/>
          <w:sz w:val="21"/>
          <w:szCs w:val="21"/>
        </w:rPr>
        <w:t>市级预算项目资金</w:t>
      </w:r>
      <w:r>
        <w:rPr>
          <w:rFonts w:hint="eastAsia" w:ascii="宋体" w:hAnsi="宋体" w:eastAsia="宋体" w:cs="宋体"/>
          <w:sz w:val="21"/>
          <w:szCs w:val="21"/>
          <w:lang w:eastAsia="zh-CN"/>
        </w:rPr>
        <w:t>（包括：</w:t>
      </w:r>
      <w:r>
        <w:rPr>
          <w:rFonts w:hint="eastAsia" w:ascii="宋体" w:hAnsi="宋体" w:eastAsia="宋体" w:cs="宋体"/>
          <w:sz w:val="21"/>
          <w:szCs w:val="21"/>
        </w:rPr>
        <w:t>韶关</w:t>
      </w:r>
      <w:r>
        <w:rPr>
          <w:rFonts w:hint="eastAsia" w:ascii="宋体" w:hAnsi="宋体" w:eastAsia="宋体" w:cs="宋体"/>
          <w:sz w:val="21"/>
          <w:szCs w:val="21"/>
          <w:lang w:eastAsia="zh-CN"/>
        </w:rPr>
        <w:t>市</w:t>
      </w:r>
      <w:r>
        <w:rPr>
          <w:rFonts w:hint="eastAsia" w:ascii="宋体" w:hAnsi="宋体" w:eastAsia="宋体" w:cs="宋体"/>
          <w:sz w:val="21"/>
          <w:szCs w:val="21"/>
        </w:rPr>
        <w:t>扶贫专项</w:t>
      </w:r>
      <w:r>
        <w:rPr>
          <w:rFonts w:hint="eastAsia" w:ascii="宋体" w:hAnsi="宋体" w:eastAsia="宋体" w:cs="宋体"/>
          <w:sz w:val="21"/>
          <w:szCs w:val="21"/>
          <w:lang w:eastAsia="zh-CN"/>
        </w:rPr>
        <w:t>资金</w:t>
      </w:r>
      <w:r>
        <w:rPr>
          <w:rFonts w:hint="eastAsia" w:ascii="宋体" w:hAnsi="宋体" w:eastAsia="宋体" w:cs="宋体"/>
          <w:sz w:val="21"/>
          <w:szCs w:val="21"/>
        </w:rPr>
        <w:t>、中堂</w:t>
      </w:r>
      <w:r>
        <w:rPr>
          <w:rFonts w:hint="eastAsia" w:ascii="宋体" w:hAnsi="宋体" w:eastAsia="宋体" w:cs="宋体"/>
          <w:sz w:val="21"/>
          <w:szCs w:val="21"/>
          <w:lang w:eastAsia="zh-CN"/>
        </w:rPr>
        <w:t>湛翠村帮扶</w:t>
      </w:r>
      <w:r>
        <w:rPr>
          <w:rFonts w:hint="eastAsia" w:ascii="宋体" w:hAnsi="宋体" w:eastAsia="宋体" w:cs="宋体"/>
          <w:sz w:val="21"/>
          <w:szCs w:val="21"/>
        </w:rPr>
        <w:t>项目</w:t>
      </w:r>
      <w:r>
        <w:rPr>
          <w:rFonts w:hint="eastAsia" w:ascii="宋体" w:hAnsi="宋体" w:eastAsia="宋体" w:cs="宋体"/>
          <w:sz w:val="21"/>
          <w:szCs w:val="21"/>
          <w:lang w:eastAsia="zh-CN"/>
        </w:rPr>
        <w:t>资金），以及相关</w:t>
      </w:r>
      <w:r>
        <w:rPr>
          <w:rFonts w:hint="eastAsia" w:ascii="宋体" w:hAnsi="宋体" w:eastAsia="宋体" w:cs="宋体"/>
          <w:sz w:val="21"/>
          <w:szCs w:val="21"/>
        </w:rPr>
        <w:t>社会组织的</w:t>
      </w:r>
      <w:r>
        <w:rPr>
          <w:rFonts w:hint="eastAsia" w:ascii="宋体" w:hAnsi="宋体" w:eastAsia="宋体" w:cs="宋体"/>
          <w:sz w:val="21"/>
          <w:szCs w:val="21"/>
          <w:lang w:eastAsia="zh-CN"/>
        </w:rPr>
        <w:t>财务管理情况</w:t>
      </w:r>
      <w:r>
        <w:rPr>
          <w:rFonts w:hint="eastAsia" w:ascii="宋体" w:hAnsi="宋体" w:eastAsia="宋体" w:cs="宋体"/>
          <w:sz w:val="21"/>
          <w:szCs w:val="21"/>
        </w:rPr>
        <w:t>进行审计监督检查。具体需求如下：</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一、审计的目的</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审计确定2019年底的各</w:t>
      </w:r>
      <w:r>
        <w:rPr>
          <w:rFonts w:hint="eastAsia" w:ascii="宋体" w:hAnsi="宋体" w:eastAsia="宋体" w:cs="宋体"/>
          <w:sz w:val="21"/>
          <w:szCs w:val="21"/>
          <w:lang w:eastAsia="zh-CN"/>
        </w:rPr>
        <w:t>园区、</w:t>
      </w:r>
      <w:r>
        <w:rPr>
          <w:rFonts w:hint="eastAsia" w:ascii="宋体" w:hAnsi="宋体" w:eastAsia="宋体" w:cs="宋体"/>
          <w:sz w:val="21"/>
          <w:szCs w:val="21"/>
        </w:rPr>
        <w:t>镇街民政专项资金结余金额及应缴回或抵扣市级项目具体金额。</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对前</w:t>
      </w:r>
      <w:r>
        <w:rPr>
          <w:rFonts w:hint="eastAsia" w:ascii="宋体" w:hAnsi="宋体" w:eastAsia="宋体" w:cs="宋体"/>
          <w:sz w:val="21"/>
          <w:szCs w:val="21"/>
          <w:lang w:eastAsia="zh-CN"/>
        </w:rPr>
        <w:t>两</w:t>
      </w:r>
      <w:r>
        <w:rPr>
          <w:rFonts w:hint="eastAsia" w:ascii="宋体" w:hAnsi="宋体" w:eastAsia="宋体" w:cs="宋体"/>
          <w:sz w:val="21"/>
          <w:szCs w:val="21"/>
        </w:rPr>
        <w:t>年各</w:t>
      </w:r>
      <w:r>
        <w:rPr>
          <w:rFonts w:hint="eastAsia" w:ascii="宋体" w:hAnsi="宋体" w:eastAsia="宋体" w:cs="宋体"/>
          <w:sz w:val="21"/>
          <w:szCs w:val="21"/>
          <w:lang w:eastAsia="zh-CN"/>
        </w:rPr>
        <w:t>园区、</w:t>
      </w:r>
      <w:r>
        <w:rPr>
          <w:rFonts w:hint="eastAsia" w:ascii="宋体" w:hAnsi="宋体" w:eastAsia="宋体" w:cs="宋体"/>
          <w:sz w:val="21"/>
          <w:szCs w:val="21"/>
        </w:rPr>
        <w:t>镇街</w:t>
      </w:r>
      <w:r>
        <w:rPr>
          <w:rFonts w:hint="eastAsia" w:ascii="宋体" w:hAnsi="宋体" w:eastAsia="宋体" w:cs="宋体"/>
          <w:sz w:val="21"/>
          <w:szCs w:val="21"/>
          <w:lang w:eastAsia="zh-CN"/>
        </w:rPr>
        <w:t>以及社会组织财务</w:t>
      </w:r>
      <w:r>
        <w:rPr>
          <w:rFonts w:hint="eastAsia" w:ascii="宋体" w:hAnsi="宋体" w:eastAsia="宋体" w:cs="宋体"/>
          <w:sz w:val="21"/>
          <w:szCs w:val="21"/>
        </w:rPr>
        <w:t>管理存在的重大问题整改情况进行</w:t>
      </w:r>
      <w:r>
        <w:rPr>
          <w:rFonts w:hint="eastAsia" w:ascii="宋体" w:hAnsi="宋体" w:eastAsia="宋体" w:cs="宋体"/>
          <w:sz w:val="21"/>
          <w:szCs w:val="21"/>
          <w:lang w:eastAsia="zh-CN"/>
        </w:rPr>
        <w:t>深入</w:t>
      </w:r>
      <w:r>
        <w:rPr>
          <w:rFonts w:hint="eastAsia" w:ascii="宋体" w:hAnsi="宋体" w:eastAsia="宋体" w:cs="宋体"/>
          <w:sz w:val="21"/>
          <w:szCs w:val="21"/>
        </w:rPr>
        <w:t>审查，并针对问题严重性提出处理建议</w:t>
      </w:r>
      <w:r>
        <w:rPr>
          <w:rFonts w:hint="eastAsia" w:ascii="宋体" w:hAnsi="宋体" w:eastAsia="宋体" w:cs="宋体"/>
          <w:sz w:val="21"/>
          <w:szCs w:val="21"/>
          <w:lang w:eastAsia="zh-CN"/>
        </w:rPr>
        <w:t>，</w:t>
      </w:r>
      <w:r>
        <w:rPr>
          <w:rFonts w:hint="eastAsia" w:ascii="宋体" w:hAnsi="宋体" w:eastAsia="宋体" w:cs="宋体"/>
          <w:sz w:val="21"/>
          <w:szCs w:val="21"/>
        </w:rPr>
        <w:t>促进重点</w:t>
      </w:r>
      <w:r>
        <w:rPr>
          <w:rFonts w:hint="eastAsia" w:ascii="宋体" w:hAnsi="宋体" w:eastAsia="宋体" w:cs="宋体"/>
          <w:sz w:val="21"/>
          <w:szCs w:val="21"/>
          <w:lang w:eastAsia="zh-CN"/>
        </w:rPr>
        <w:t>项目</w:t>
      </w:r>
      <w:r>
        <w:rPr>
          <w:rFonts w:hint="eastAsia" w:ascii="宋体" w:hAnsi="宋体" w:eastAsia="宋体" w:cs="宋体"/>
          <w:sz w:val="21"/>
          <w:szCs w:val="21"/>
        </w:rPr>
        <w:t>资金</w:t>
      </w:r>
      <w:r>
        <w:rPr>
          <w:rFonts w:hint="eastAsia" w:ascii="宋体" w:hAnsi="宋体" w:eastAsia="宋体" w:cs="宋体"/>
          <w:sz w:val="21"/>
          <w:szCs w:val="21"/>
          <w:lang w:eastAsia="zh-CN"/>
        </w:rPr>
        <w:t>的</w:t>
      </w:r>
      <w:r>
        <w:rPr>
          <w:rFonts w:hint="eastAsia" w:ascii="宋体" w:hAnsi="宋体" w:eastAsia="宋体" w:cs="宋体"/>
          <w:sz w:val="21"/>
          <w:szCs w:val="21"/>
        </w:rPr>
        <w:t>管理。</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通过审计发现的问题，对民政项目项</w:t>
      </w:r>
      <w:r>
        <w:rPr>
          <w:rFonts w:hint="eastAsia" w:ascii="宋体" w:hAnsi="宋体" w:eastAsia="宋体" w:cs="宋体"/>
          <w:sz w:val="21"/>
          <w:szCs w:val="21"/>
          <w:lang w:eastAsia="zh-CN"/>
        </w:rPr>
        <w:t>目</w:t>
      </w:r>
      <w:r>
        <w:rPr>
          <w:rFonts w:hint="eastAsia" w:ascii="宋体" w:hAnsi="宋体" w:eastAsia="宋体" w:cs="宋体"/>
          <w:sz w:val="21"/>
          <w:szCs w:val="21"/>
        </w:rPr>
        <w:t>资金内控管理</w:t>
      </w:r>
      <w:r>
        <w:rPr>
          <w:rFonts w:hint="eastAsia" w:ascii="宋体" w:hAnsi="宋体" w:eastAsia="宋体" w:cs="宋体"/>
          <w:sz w:val="21"/>
          <w:szCs w:val="21"/>
          <w:lang w:eastAsia="zh-CN"/>
        </w:rPr>
        <w:t>、提高绩效等方面</w:t>
      </w:r>
      <w:r>
        <w:rPr>
          <w:rFonts w:hint="eastAsia" w:ascii="宋体" w:hAnsi="宋体" w:eastAsia="宋体" w:cs="宋体"/>
          <w:sz w:val="21"/>
          <w:szCs w:val="21"/>
        </w:rPr>
        <w:t>提出合理化建议，以适应未来对民政专项管理的需要。</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二、审计主要内容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对2019年和2020年拨付给全市33个</w:t>
      </w:r>
      <w:r>
        <w:rPr>
          <w:rFonts w:hint="eastAsia" w:ascii="宋体" w:hAnsi="宋体" w:eastAsia="宋体" w:cs="宋体"/>
          <w:sz w:val="21"/>
          <w:szCs w:val="21"/>
          <w:lang w:eastAsia="zh-CN"/>
        </w:rPr>
        <w:t>园区、</w:t>
      </w:r>
      <w:r>
        <w:rPr>
          <w:rFonts w:hint="eastAsia" w:ascii="宋体" w:hAnsi="宋体" w:eastAsia="宋体" w:cs="宋体"/>
          <w:sz w:val="21"/>
          <w:szCs w:val="21"/>
        </w:rPr>
        <w:t>镇街、相关社会组织民政项目资金的结余情况、收入与使用管理情况进行审计。主要内容包括：</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　　（</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各镇（街、园区）2019年底和2020年底民政项目资金结余准确情况。</w:t>
      </w:r>
    </w:p>
    <w:p>
      <w:pPr>
        <w:keepNext w:val="0"/>
        <w:keepLines w:val="0"/>
        <w:pageBreakBefore w:val="0"/>
        <w:widowControl w:val="0"/>
        <w:kinsoku/>
        <w:wordWrap/>
        <w:overflowPunct/>
        <w:topLinePunct w:val="0"/>
        <w:autoSpaceDE/>
        <w:autoSpaceDN/>
        <w:bidi w:val="0"/>
        <w:adjustRightInd/>
        <w:snapToGrid/>
        <w:spacing w:after="0" w:line="360" w:lineRule="auto"/>
        <w:textAlignment w:val="auto"/>
        <w:rPr>
          <w:rFonts w:hint="eastAsia" w:ascii="宋体" w:hAnsi="宋体" w:eastAsia="宋体" w:cs="宋体"/>
          <w:sz w:val="21"/>
          <w:szCs w:val="21"/>
        </w:rPr>
      </w:pPr>
      <w:r>
        <w:rPr>
          <w:rFonts w:hint="eastAsia" w:ascii="宋体" w:hAnsi="宋体" w:eastAsia="宋体" w:cs="宋体"/>
          <w:sz w:val="21"/>
          <w:szCs w:val="21"/>
          <w:lang w:eastAsia="zh-CN"/>
        </w:rPr>
        <w:t>　　</w:t>
      </w:r>
      <w:r>
        <w:rPr>
          <w:rFonts w:hint="eastAsia" w:ascii="宋体" w:hAnsi="宋体" w:eastAsia="宋体" w:cs="宋体"/>
          <w:sz w:val="21"/>
          <w:szCs w:val="21"/>
        </w:rPr>
        <w:t>（2）各镇（街、园区）2019年底和2020年底民政项目资金管理使用情况，具体包括：财务核算是否规范；资金申请与审核程序是否规范，记录是否完整，公示是否落实；保障对象个人变动信息是否及时更新上传；资金配套是否到位；资金发放是否精准及时；资金是否闲置；资金结余是否定期清理抵扣，并按规定缴回；工程（服务、采购）项目是否进行招投标，是否按规定进行验收、财审结算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（3）以前年度审计反映的问题整改情况。</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（4）针对民政策项目专项资金内控管理制度是否完善，是否严格执行，是否存在漏洞。</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（5）民政专项资金是否按规定专项核算。</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（6）相关社会组织（2019年</w:t>
      </w:r>
      <w:r>
        <w:rPr>
          <w:rFonts w:hint="eastAsia" w:ascii="宋体" w:hAnsi="宋体" w:eastAsia="宋体" w:cs="宋体"/>
          <w:sz w:val="21"/>
          <w:szCs w:val="21"/>
          <w:lang w:val="en-US" w:eastAsia="zh-CN"/>
        </w:rPr>
        <w:t>3</w:t>
      </w:r>
      <w:r>
        <w:rPr>
          <w:rFonts w:hint="eastAsia" w:ascii="宋体" w:hAnsi="宋体" w:eastAsia="宋体" w:cs="宋体"/>
          <w:sz w:val="21"/>
          <w:szCs w:val="21"/>
        </w:rPr>
        <w:t>家，2020年约</w:t>
      </w:r>
      <w:r>
        <w:rPr>
          <w:rFonts w:hint="eastAsia" w:ascii="宋体" w:hAnsi="宋体" w:eastAsia="宋体" w:cs="宋体"/>
          <w:sz w:val="21"/>
          <w:szCs w:val="21"/>
          <w:lang w:val="en-US" w:eastAsia="zh-CN"/>
        </w:rPr>
        <w:t>5</w:t>
      </w:r>
      <w:r>
        <w:rPr>
          <w:rFonts w:hint="eastAsia" w:ascii="宋体" w:hAnsi="宋体" w:eastAsia="宋体" w:cs="宋体"/>
          <w:sz w:val="21"/>
          <w:szCs w:val="21"/>
        </w:rPr>
        <w:t>家）</w:t>
      </w:r>
      <w:r>
        <w:rPr>
          <w:rFonts w:hint="eastAsia" w:ascii="宋体" w:hAnsi="宋体" w:eastAsia="宋体" w:cs="宋体"/>
          <w:sz w:val="21"/>
          <w:szCs w:val="21"/>
          <w:lang w:eastAsia="zh-CN"/>
        </w:rPr>
        <w:t>的财务</w:t>
      </w:r>
      <w:r>
        <w:rPr>
          <w:rFonts w:hint="eastAsia" w:ascii="宋体" w:hAnsi="宋体" w:eastAsia="宋体" w:cs="宋体"/>
          <w:sz w:val="21"/>
          <w:szCs w:val="21"/>
        </w:rPr>
        <w:t>管理情况。具体包括：是否建立完善的内控管理制度，制度执行情况是否到位，财务支出是否规范，所附原始单据是否齐全、合法合规；项目经费使用是否按相关管理办法规定专款专用；是否存在大额现金支出；期间费用和项目成本是否按会计制度规定核算，是否科学划分并合理分摊；项目成本计算范围是否与项目合同内容一致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（7）重点针对韶关扶贫项目、中堂</w:t>
      </w:r>
      <w:r>
        <w:rPr>
          <w:rFonts w:hint="eastAsia" w:ascii="宋体" w:hAnsi="宋体" w:eastAsia="宋体" w:cs="宋体"/>
          <w:sz w:val="21"/>
          <w:szCs w:val="21"/>
          <w:lang w:eastAsia="zh-CN"/>
        </w:rPr>
        <w:t>湛翠村帮扶</w:t>
      </w:r>
      <w:r>
        <w:rPr>
          <w:rFonts w:hint="eastAsia" w:ascii="宋体" w:hAnsi="宋体" w:eastAsia="宋体" w:cs="宋体"/>
          <w:sz w:val="21"/>
          <w:szCs w:val="21"/>
        </w:rPr>
        <w:t>项目</w:t>
      </w:r>
      <w:r>
        <w:rPr>
          <w:rFonts w:hint="eastAsia" w:ascii="宋体" w:hAnsi="宋体" w:eastAsia="宋体" w:cs="宋体"/>
          <w:sz w:val="21"/>
          <w:szCs w:val="21"/>
          <w:lang w:eastAsia="zh-CN"/>
        </w:rPr>
        <w:t>和</w:t>
      </w:r>
      <w:r>
        <w:rPr>
          <w:rFonts w:hint="eastAsia" w:ascii="宋体" w:hAnsi="宋体" w:eastAsia="宋体" w:cs="宋体"/>
          <w:sz w:val="21"/>
          <w:szCs w:val="21"/>
        </w:rPr>
        <w:t>2020年新型冠状病毒救助专项资金项目</w:t>
      </w:r>
      <w:r>
        <w:rPr>
          <w:rFonts w:hint="eastAsia" w:ascii="宋体" w:hAnsi="宋体" w:eastAsia="宋体" w:cs="宋体"/>
          <w:sz w:val="21"/>
          <w:szCs w:val="21"/>
          <w:lang w:eastAsia="zh-CN"/>
        </w:rPr>
        <w:t>的</w:t>
      </w:r>
      <w:r>
        <w:rPr>
          <w:rFonts w:hint="eastAsia" w:ascii="宋体" w:hAnsi="宋体" w:eastAsia="宋体" w:cs="宋体"/>
          <w:sz w:val="21"/>
          <w:szCs w:val="21"/>
        </w:rPr>
        <w:t>使用与管理情况进行详细审计。</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三、审计重点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2019年审计重点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（1）镇街审计重点：审查33个</w:t>
      </w:r>
      <w:r>
        <w:rPr>
          <w:rFonts w:hint="eastAsia" w:ascii="宋体" w:hAnsi="宋体" w:eastAsia="宋体" w:cs="宋体"/>
          <w:sz w:val="21"/>
          <w:szCs w:val="21"/>
          <w:lang w:eastAsia="zh-CN"/>
        </w:rPr>
        <w:t>园区、</w:t>
      </w:r>
      <w:r>
        <w:rPr>
          <w:rFonts w:hint="eastAsia" w:ascii="宋体" w:hAnsi="宋体" w:eastAsia="宋体" w:cs="宋体"/>
          <w:sz w:val="21"/>
          <w:szCs w:val="21"/>
        </w:rPr>
        <w:t>镇街民政项目资金具体准确结余金额；前</w:t>
      </w:r>
      <w:r>
        <w:rPr>
          <w:rFonts w:hint="eastAsia" w:ascii="宋体" w:hAnsi="宋体" w:eastAsia="宋体" w:cs="宋体"/>
          <w:sz w:val="21"/>
          <w:szCs w:val="21"/>
          <w:lang w:eastAsia="zh-CN"/>
        </w:rPr>
        <w:t>两</w:t>
      </w:r>
      <w:r>
        <w:rPr>
          <w:rFonts w:hint="eastAsia" w:ascii="宋体" w:hAnsi="宋体" w:eastAsia="宋体" w:cs="宋体"/>
          <w:sz w:val="21"/>
          <w:szCs w:val="21"/>
        </w:rPr>
        <w:t>年</w:t>
      </w:r>
      <w:r>
        <w:rPr>
          <w:rFonts w:hint="eastAsia" w:ascii="宋体" w:hAnsi="宋体" w:eastAsia="宋体" w:cs="宋体"/>
          <w:sz w:val="21"/>
          <w:szCs w:val="21"/>
          <w:lang w:eastAsia="zh-CN"/>
        </w:rPr>
        <w:t>的</w:t>
      </w:r>
      <w:r>
        <w:rPr>
          <w:rFonts w:hint="eastAsia" w:ascii="宋体" w:hAnsi="宋体" w:eastAsia="宋体" w:cs="宋体"/>
          <w:sz w:val="21"/>
          <w:szCs w:val="21"/>
        </w:rPr>
        <w:t>重点问题（如市级民政资金未及时缴回或抵扣、未按规定时间发放及未按规定进行专项核算）的整改情况；两个重点项目（韶关</w:t>
      </w:r>
      <w:r>
        <w:rPr>
          <w:rFonts w:hint="eastAsia" w:ascii="宋体" w:hAnsi="宋体" w:eastAsia="宋体" w:cs="宋体"/>
          <w:sz w:val="21"/>
          <w:szCs w:val="21"/>
          <w:lang w:eastAsia="zh-CN"/>
        </w:rPr>
        <w:t>市</w:t>
      </w:r>
      <w:r>
        <w:rPr>
          <w:rFonts w:hint="eastAsia" w:ascii="宋体" w:hAnsi="宋体" w:eastAsia="宋体" w:cs="宋体"/>
          <w:sz w:val="21"/>
          <w:szCs w:val="21"/>
        </w:rPr>
        <w:t>扶贫专项</w:t>
      </w:r>
      <w:r>
        <w:rPr>
          <w:rFonts w:hint="eastAsia" w:ascii="宋体" w:hAnsi="宋体" w:eastAsia="宋体" w:cs="宋体"/>
          <w:sz w:val="21"/>
          <w:szCs w:val="21"/>
          <w:lang w:eastAsia="zh-CN"/>
        </w:rPr>
        <w:t>资金</w:t>
      </w:r>
      <w:r>
        <w:rPr>
          <w:rFonts w:hint="eastAsia" w:ascii="宋体" w:hAnsi="宋体" w:eastAsia="宋体" w:cs="宋体"/>
          <w:sz w:val="21"/>
          <w:szCs w:val="21"/>
        </w:rPr>
        <w:t>、中堂</w:t>
      </w:r>
      <w:r>
        <w:rPr>
          <w:rFonts w:hint="eastAsia" w:ascii="宋体" w:hAnsi="宋体" w:eastAsia="宋体" w:cs="宋体"/>
          <w:sz w:val="21"/>
          <w:szCs w:val="21"/>
          <w:lang w:eastAsia="zh-CN"/>
        </w:rPr>
        <w:t>湛翠村定点帮扶</w:t>
      </w:r>
      <w:r>
        <w:rPr>
          <w:rFonts w:hint="eastAsia" w:ascii="宋体" w:hAnsi="宋体" w:eastAsia="宋体" w:cs="宋体"/>
          <w:sz w:val="21"/>
          <w:szCs w:val="21"/>
        </w:rPr>
        <w:t>项目</w:t>
      </w:r>
      <w:r>
        <w:rPr>
          <w:rFonts w:hint="eastAsia" w:ascii="宋体" w:hAnsi="宋体" w:eastAsia="宋体" w:cs="宋体"/>
          <w:sz w:val="21"/>
          <w:szCs w:val="21"/>
          <w:lang w:eastAsia="zh-CN"/>
        </w:rPr>
        <w:t>资金</w:t>
      </w:r>
      <w:r>
        <w:rPr>
          <w:rFonts w:hint="eastAsia" w:ascii="宋体" w:hAnsi="宋体" w:eastAsia="宋体" w:cs="宋体"/>
          <w:sz w:val="21"/>
          <w:szCs w:val="21"/>
        </w:rPr>
        <w:t>）专项审计。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（2）社会组织审计重点：审计</w:t>
      </w:r>
      <w:r>
        <w:rPr>
          <w:rFonts w:hint="eastAsia" w:ascii="宋体" w:hAnsi="宋体" w:eastAsia="宋体" w:cs="宋体"/>
          <w:sz w:val="21"/>
          <w:szCs w:val="21"/>
          <w:lang w:val="en-US" w:eastAsia="zh-CN"/>
        </w:rPr>
        <w:t>3</w:t>
      </w:r>
      <w:r>
        <w:rPr>
          <w:rFonts w:hint="eastAsia" w:ascii="宋体" w:hAnsi="宋体" w:eastAsia="宋体" w:cs="宋体"/>
          <w:sz w:val="21"/>
          <w:szCs w:val="21"/>
        </w:rPr>
        <w:t>家资金较大、问题较多的社会组织</w:t>
      </w:r>
      <w:r>
        <w:rPr>
          <w:rFonts w:hint="eastAsia" w:ascii="宋体" w:hAnsi="宋体" w:eastAsia="宋体" w:cs="宋体"/>
          <w:sz w:val="21"/>
          <w:szCs w:val="21"/>
          <w:lang w:eastAsia="zh-CN"/>
        </w:rPr>
        <w:t>，检查</w:t>
      </w:r>
      <w:r>
        <w:rPr>
          <w:rFonts w:hint="eastAsia" w:ascii="宋体" w:hAnsi="宋体" w:eastAsia="宋体" w:cs="宋体"/>
          <w:sz w:val="21"/>
          <w:szCs w:val="21"/>
        </w:rPr>
        <w:t>内控管理完善与执行情况，前几年重点问题（专款专用问题、专项会计核算问题、凭证合法支出问题、真实支出问题）整改情况，并深入社会组织使用民政专项资金资助对象进行审计</w:t>
      </w:r>
      <w:r>
        <w:rPr>
          <w:rFonts w:hint="eastAsia" w:ascii="宋体" w:hAnsi="宋体" w:eastAsia="宋体" w:cs="宋体"/>
          <w:sz w:val="21"/>
          <w:szCs w:val="21"/>
          <w:lang w:eastAsia="zh-CN"/>
        </w:rPr>
        <w:t>，特别是对市慈善会在</w:t>
      </w:r>
      <w:r>
        <w:rPr>
          <w:rFonts w:hint="eastAsia" w:ascii="宋体" w:hAnsi="宋体" w:eastAsia="宋体" w:cs="宋体"/>
          <w:sz w:val="21"/>
          <w:szCs w:val="21"/>
          <w:lang w:val="en-US" w:eastAsia="zh-CN"/>
        </w:rPr>
        <w:t>2020年年初，</w:t>
      </w:r>
      <w:r>
        <w:rPr>
          <w:rFonts w:hint="eastAsia" w:ascii="宋体" w:hAnsi="宋体" w:eastAsia="宋体" w:cs="宋体"/>
          <w:sz w:val="21"/>
          <w:szCs w:val="21"/>
          <w:lang w:eastAsia="zh-CN"/>
        </w:rPr>
        <w:t>新型冠状病毒感染肺炎疫情期间，接收防控财政资金和捐赠款物进行专项审计</w:t>
      </w:r>
      <w:r>
        <w:rPr>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2020年审计重点：</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（1）镇街审计重点：</w:t>
      </w:r>
      <w:r>
        <w:rPr>
          <w:rFonts w:hint="eastAsia" w:ascii="宋体" w:hAnsi="宋体" w:eastAsia="宋体" w:cs="宋体"/>
          <w:sz w:val="21"/>
          <w:szCs w:val="21"/>
          <w:lang w:eastAsia="zh-CN"/>
        </w:rPr>
        <w:t>借助“民政资金发放与监管信息平台”的数据，复核</w:t>
      </w:r>
      <w:r>
        <w:rPr>
          <w:rFonts w:hint="eastAsia" w:ascii="宋体" w:hAnsi="宋体" w:eastAsia="宋体" w:cs="宋体"/>
          <w:sz w:val="21"/>
          <w:szCs w:val="21"/>
        </w:rPr>
        <w:t>33个</w:t>
      </w:r>
      <w:r>
        <w:rPr>
          <w:rFonts w:hint="eastAsia" w:ascii="宋体" w:hAnsi="宋体" w:eastAsia="宋体" w:cs="宋体"/>
          <w:sz w:val="21"/>
          <w:szCs w:val="21"/>
          <w:lang w:eastAsia="zh-CN"/>
        </w:rPr>
        <w:t>园区、</w:t>
      </w:r>
      <w:r>
        <w:rPr>
          <w:rFonts w:hint="eastAsia" w:ascii="宋体" w:hAnsi="宋体" w:eastAsia="宋体" w:cs="宋体"/>
          <w:sz w:val="21"/>
          <w:szCs w:val="21"/>
        </w:rPr>
        <w:t>镇街民政项目资金具体结余金额；2019年重点问题（如市级民政资金未及时缴回或抵扣、未按规定时间发放及未按规定进行专项核算）未解决的整改情况；三个重点项目（包括中堂、韶关扶贫专项、</w:t>
      </w:r>
      <w:r>
        <w:rPr>
          <w:rFonts w:hint="eastAsia" w:ascii="宋体" w:hAnsi="宋体" w:eastAsia="宋体" w:cs="宋体"/>
          <w:sz w:val="21"/>
          <w:szCs w:val="21"/>
          <w:lang w:eastAsia="zh-CN"/>
        </w:rPr>
        <w:t>跟踪</w:t>
      </w:r>
      <w:r>
        <w:rPr>
          <w:rFonts w:hint="eastAsia" w:ascii="宋体" w:hAnsi="宋体" w:eastAsia="宋体" w:cs="宋体"/>
          <w:sz w:val="21"/>
          <w:szCs w:val="21"/>
        </w:rPr>
        <w:t>新冠疫情资金</w:t>
      </w:r>
      <w:r>
        <w:rPr>
          <w:rFonts w:hint="eastAsia" w:ascii="宋体" w:hAnsi="宋体" w:eastAsia="宋体" w:cs="宋体"/>
          <w:sz w:val="21"/>
          <w:szCs w:val="21"/>
          <w:lang w:eastAsia="zh-CN"/>
        </w:rPr>
        <w:t>项目</w:t>
      </w:r>
      <w:r>
        <w:rPr>
          <w:rFonts w:hint="eastAsia" w:ascii="宋体" w:hAnsi="宋体" w:eastAsia="宋体" w:cs="宋体"/>
          <w:sz w:val="21"/>
          <w:szCs w:val="21"/>
        </w:rPr>
        <w:t>）</w:t>
      </w:r>
      <w:r>
        <w:rPr>
          <w:rFonts w:hint="eastAsia" w:ascii="宋体" w:hAnsi="宋体" w:eastAsia="宋体" w:cs="宋体"/>
          <w:sz w:val="21"/>
          <w:szCs w:val="21"/>
          <w:lang w:eastAsia="zh-CN"/>
        </w:rPr>
        <w:t>的</w:t>
      </w:r>
      <w:r>
        <w:rPr>
          <w:rFonts w:hint="eastAsia" w:ascii="宋体" w:hAnsi="宋体" w:eastAsia="宋体" w:cs="宋体"/>
          <w:sz w:val="21"/>
          <w:szCs w:val="21"/>
        </w:rPr>
        <w:t>专项审计。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（2）社会组织审计重点：审计</w:t>
      </w:r>
      <w:r>
        <w:rPr>
          <w:rFonts w:hint="eastAsia" w:ascii="宋体" w:hAnsi="宋体" w:eastAsia="宋体" w:cs="宋体"/>
          <w:sz w:val="21"/>
          <w:szCs w:val="21"/>
          <w:lang w:val="en-US" w:eastAsia="zh-CN"/>
        </w:rPr>
        <w:t>5</w:t>
      </w:r>
      <w:r>
        <w:rPr>
          <w:rFonts w:hint="eastAsia" w:ascii="宋体" w:hAnsi="宋体" w:eastAsia="宋体" w:cs="宋体"/>
          <w:sz w:val="21"/>
          <w:szCs w:val="21"/>
        </w:rPr>
        <w:t>家</w:t>
      </w:r>
      <w:r>
        <w:rPr>
          <w:rFonts w:hint="eastAsia" w:ascii="宋体" w:hAnsi="宋体" w:eastAsia="宋体" w:cs="宋体"/>
          <w:sz w:val="21"/>
          <w:szCs w:val="21"/>
          <w:lang w:eastAsia="zh-CN"/>
        </w:rPr>
        <w:t>社会组织的</w:t>
      </w:r>
      <w:r>
        <w:rPr>
          <w:rFonts w:hint="eastAsia" w:ascii="宋体" w:hAnsi="宋体" w:eastAsia="宋体" w:cs="宋体"/>
          <w:sz w:val="21"/>
          <w:szCs w:val="21"/>
        </w:rPr>
        <w:t>内控管理完善与执行情况；前</w:t>
      </w:r>
      <w:r>
        <w:rPr>
          <w:rFonts w:hint="eastAsia" w:ascii="宋体" w:hAnsi="宋体" w:eastAsia="宋体" w:cs="宋体"/>
          <w:sz w:val="21"/>
          <w:szCs w:val="21"/>
          <w:lang w:eastAsia="zh-CN"/>
        </w:rPr>
        <w:t>两</w:t>
      </w:r>
      <w:r>
        <w:rPr>
          <w:rFonts w:hint="eastAsia" w:ascii="宋体" w:hAnsi="宋体" w:eastAsia="宋体" w:cs="宋体"/>
          <w:sz w:val="21"/>
          <w:szCs w:val="21"/>
        </w:rPr>
        <w:t>年重点问题及2019年审计出现新问题（专款专用问题、专项会计核算问题、凭证合法支出问题、真实支出问题）整改情况；对部分使用专项资金较多的社会组织、及承担社会重点关注项目关系热点民生问题的社会组织，深入资助对象进行详细审计。</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四、人员数量、人员资质、工作时间、付费内容方面的具体要求：</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鉴于东莞市镇街、社会组织及预算数量较多且较分散，</w:t>
      </w:r>
      <w:r>
        <w:rPr>
          <w:rFonts w:hint="eastAsia" w:ascii="宋体" w:hAnsi="宋体" w:eastAsia="宋体" w:cs="宋体"/>
          <w:color w:val="auto"/>
          <w:sz w:val="21"/>
          <w:szCs w:val="21"/>
          <w:lang w:eastAsia="zh-CN"/>
        </w:rPr>
        <w:t>为</w:t>
      </w:r>
      <w:r>
        <w:rPr>
          <w:rFonts w:hint="eastAsia" w:ascii="宋体" w:hAnsi="宋体" w:eastAsia="宋体" w:cs="宋体"/>
          <w:color w:val="auto"/>
          <w:sz w:val="21"/>
          <w:szCs w:val="21"/>
        </w:rPr>
        <w:t>保证参加审计的人员数量</w:t>
      </w:r>
      <w:r>
        <w:rPr>
          <w:rFonts w:hint="eastAsia" w:ascii="宋体" w:hAnsi="宋体" w:eastAsia="宋体" w:cs="宋体"/>
          <w:color w:val="auto"/>
          <w:sz w:val="21"/>
          <w:szCs w:val="21"/>
          <w:lang w:eastAsia="zh-CN"/>
        </w:rPr>
        <w:t>，中标人需</w:t>
      </w:r>
      <w:r>
        <w:rPr>
          <w:rFonts w:hint="eastAsia" w:ascii="宋体" w:hAnsi="宋体" w:eastAsia="宋体" w:cs="宋体"/>
          <w:color w:val="auto"/>
          <w:sz w:val="21"/>
          <w:szCs w:val="21"/>
        </w:rPr>
        <w:t>要组建6个项目组，每个组至少4个人，且项目组长必须具有注册会计师资格</w:t>
      </w:r>
      <w:r>
        <w:rPr>
          <w:rFonts w:hint="eastAsia" w:ascii="宋体" w:hAnsi="宋体" w:eastAsia="宋体" w:cs="宋体"/>
          <w:color w:val="auto"/>
          <w:sz w:val="21"/>
          <w:szCs w:val="21"/>
          <w:lang w:eastAsia="zh-CN"/>
        </w:rPr>
        <w:t>，每个项目组的成员要求：</w:t>
      </w:r>
      <w:r>
        <w:rPr>
          <w:rFonts w:hint="eastAsia" w:ascii="宋体" w:hAnsi="宋体" w:eastAsia="宋体" w:cs="宋体"/>
          <w:color w:val="auto"/>
          <w:sz w:val="21"/>
          <w:szCs w:val="21"/>
        </w:rPr>
        <w:t>中级会计师至少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名、初级会计师至少</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名。除项目组成员外，</w:t>
      </w:r>
      <w:r>
        <w:rPr>
          <w:rFonts w:hint="eastAsia" w:ascii="宋体" w:hAnsi="宋体" w:eastAsia="宋体" w:cs="宋体"/>
          <w:color w:val="auto"/>
          <w:sz w:val="21"/>
          <w:szCs w:val="21"/>
          <w:lang w:eastAsia="zh-CN"/>
        </w:rPr>
        <w:t>需安排</w:t>
      </w:r>
      <w:r>
        <w:rPr>
          <w:rFonts w:hint="eastAsia" w:ascii="宋体" w:hAnsi="宋体" w:eastAsia="宋体" w:cs="宋体"/>
          <w:color w:val="auto"/>
          <w:sz w:val="21"/>
          <w:szCs w:val="21"/>
          <w:lang w:val="en-US" w:eastAsia="zh-CN"/>
        </w:rPr>
        <w:t>1名</w:t>
      </w:r>
      <w:r>
        <w:rPr>
          <w:rFonts w:hint="eastAsia" w:ascii="宋体" w:hAnsi="宋体" w:eastAsia="宋体" w:cs="宋体"/>
          <w:color w:val="auto"/>
          <w:sz w:val="21"/>
          <w:szCs w:val="21"/>
        </w:rPr>
        <w:t>注册会计师作为总项目组长作为整个项目统筹人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以上人员</w:t>
      </w:r>
      <w:r>
        <w:rPr>
          <w:rFonts w:hint="eastAsia" w:ascii="宋体" w:hAnsi="宋体" w:eastAsia="宋体" w:cs="宋体"/>
          <w:color w:val="auto"/>
          <w:sz w:val="21"/>
          <w:szCs w:val="21"/>
        </w:rPr>
        <w:t>须提供人员证书及距开标当前月前三个月投标人为其缴纳的社会保险凭证复印件加盖投标人公章)；</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sz w:val="21"/>
          <w:szCs w:val="21"/>
        </w:rPr>
        <w:t>由于本次项目需要对镇街及社会组织重点项目及问题进行深入现场审计，每个镇街的现场审计时间不少于</w:t>
      </w:r>
      <w:r>
        <w:rPr>
          <w:rFonts w:hint="eastAsia" w:ascii="宋体" w:hAnsi="宋体" w:eastAsia="宋体" w:cs="宋体"/>
          <w:sz w:val="21"/>
          <w:szCs w:val="21"/>
          <w:lang w:val="en-US" w:eastAsia="zh-CN"/>
        </w:rPr>
        <w:t>3</w:t>
      </w:r>
      <w:r>
        <w:rPr>
          <w:rFonts w:hint="eastAsia" w:ascii="宋体" w:hAnsi="宋体" w:eastAsia="宋体" w:cs="宋体"/>
          <w:sz w:val="21"/>
          <w:szCs w:val="21"/>
        </w:rPr>
        <w:t>天，社会组织的现场审计时间不少于</w:t>
      </w:r>
      <w:r>
        <w:rPr>
          <w:rFonts w:hint="eastAsia" w:ascii="宋体" w:hAnsi="宋体" w:eastAsia="宋体" w:cs="宋体"/>
          <w:sz w:val="21"/>
          <w:szCs w:val="21"/>
          <w:lang w:val="en-US" w:eastAsia="zh-CN"/>
        </w:rPr>
        <w:t>2</w:t>
      </w:r>
      <w:r>
        <w:rPr>
          <w:rFonts w:hint="eastAsia" w:ascii="宋体" w:hAnsi="宋体" w:eastAsia="宋体" w:cs="宋体"/>
          <w:sz w:val="21"/>
          <w:szCs w:val="21"/>
        </w:rPr>
        <w:t>天</w:t>
      </w:r>
      <w:r>
        <w:rPr>
          <w:rFonts w:hint="eastAsia" w:ascii="宋体" w:hAnsi="宋体" w:eastAsia="宋体" w:cs="宋体"/>
          <w:sz w:val="21"/>
          <w:szCs w:val="21"/>
          <w:lang w:eastAsia="zh-CN"/>
        </w:rPr>
        <w:t>；</w:t>
      </w:r>
    </w:p>
    <w:p>
      <w:pPr>
        <w:pStyle w:val="4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　　3</w:t>
      </w:r>
      <w:r>
        <w:rPr>
          <w:rFonts w:hint="eastAsia" w:ascii="宋体" w:hAnsi="宋体" w:eastAsia="宋体" w:cs="宋体"/>
          <w:sz w:val="21"/>
          <w:szCs w:val="21"/>
          <w:lang w:eastAsia="zh-CN"/>
        </w:rPr>
        <w:t>.</w:t>
      </w:r>
      <w:r>
        <w:rPr>
          <w:rFonts w:hint="eastAsia" w:ascii="宋体" w:hAnsi="宋体" w:eastAsia="宋体" w:cs="宋体"/>
          <w:kern w:val="2"/>
          <w:sz w:val="21"/>
          <w:szCs w:val="21"/>
          <w:lang w:val="en-US" w:eastAsia="zh-CN" w:bidi="ar-SA"/>
        </w:rPr>
        <w:t>付费内容包含市内交通费、住宿费、误餐费、伙食费、通讯费、办公费、出具各类项审计报告费等各类费用；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五</w:t>
      </w:r>
      <w:r>
        <w:rPr>
          <w:rFonts w:hint="eastAsia" w:ascii="宋体" w:hAnsi="宋体" w:eastAsia="宋体" w:cs="宋体"/>
          <w:b/>
          <w:bCs/>
          <w:sz w:val="24"/>
          <w:szCs w:val="24"/>
        </w:rPr>
        <w:t>、审计</w:t>
      </w:r>
      <w:r>
        <w:rPr>
          <w:rFonts w:hint="eastAsia" w:ascii="宋体" w:hAnsi="宋体" w:eastAsia="宋体" w:cs="宋体"/>
          <w:b/>
          <w:bCs/>
          <w:sz w:val="24"/>
          <w:szCs w:val="24"/>
          <w:lang w:eastAsia="zh-CN"/>
        </w:rPr>
        <w:t>服务期</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kern w:val="2"/>
          <w:sz w:val="21"/>
          <w:szCs w:val="21"/>
          <w:lang w:val="en-US" w:eastAsia="zh-CN" w:bidi="ar-SA"/>
        </w:rPr>
        <w:t>自合同签订之日起两年，</w:t>
      </w:r>
      <w:r>
        <w:rPr>
          <w:rFonts w:hint="eastAsia" w:ascii="宋体" w:hAnsi="宋体" w:eastAsia="宋体" w:cs="宋体"/>
          <w:sz w:val="21"/>
          <w:szCs w:val="21"/>
        </w:rPr>
        <w:t>分两年进行审计。</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2019年度审计计划：2020年6月30日前进场对2019年度的</w:t>
      </w:r>
      <w:r>
        <w:rPr>
          <w:rFonts w:hint="eastAsia" w:ascii="宋体" w:hAnsi="宋体" w:eastAsia="宋体" w:cs="宋体"/>
          <w:sz w:val="21"/>
          <w:szCs w:val="21"/>
          <w:lang w:eastAsia="zh-CN"/>
        </w:rPr>
        <w:t>资金</w:t>
      </w:r>
      <w:r>
        <w:rPr>
          <w:rFonts w:hint="eastAsia" w:ascii="宋体" w:hAnsi="宋体" w:eastAsia="宋体" w:cs="宋体"/>
          <w:sz w:val="21"/>
          <w:szCs w:val="21"/>
        </w:rPr>
        <w:t>现场审计，</w:t>
      </w:r>
      <w:r>
        <w:rPr>
          <w:rFonts w:hint="eastAsia" w:ascii="宋体" w:hAnsi="宋体" w:eastAsia="宋体" w:cs="宋体"/>
          <w:sz w:val="21"/>
          <w:szCs w:val="21"/>
          <w:lang w:val="en-US" w:eastAsia="zh-CN"/>
        </w:rPr>
        <w:t>9</w:t>
      </w:r>
      <w:r>
        <w:rPr>
          <w:rFonts w:hint="eastAsia" w:ascii="宋体" w:hAnsi="宋体" w:eastAsia="宋体" w:cs="宋体"/>
          <w:sz w:val="21"/>
          <w:szCs w:val="21"/>
        </w:rPr>
        <w:t>月30日完成对2019年度的现场审计并出具审计报告</w:t>
      </w:r>
      <w:r>
        <w:rPr>
          <w:rFonts w:hint="eastAsia" w:ascii="宋体" w:hAnsi="宋体" w:eastAsia="宋体" w:cs="宋体"/>
          <w:sz w:val="21"/>
          <w:szCs w:val="21"/>
          <w:lang w:eastAsia="zh-CN"/>
        </w:rPr>
        <w:t>初稿，经</w:t>
      </w:r>
      <w:r>
        <w:rPr>
          <w:rFonts w:hint="eastAsia" w:ascii="宋体" w:hAnsi="宋体" w:eastAsia="宋体" w:cs="宋体"/>
          <w:sz w:val="21"/>
          <w:szCs w:val="21"/>
        </w:rPr>
        <w:t>征求</w:t>
      </w:r>
      <w:r>
        <w:rPr>
          <w:rFonts w:hint="eastAsia" w:ascii="宋体" w:hAnsi="宋体" w:eastAsia="宋体" w:cs="宋体"/>
          <w:sz w:val="21"/>
          <w:szCs w:val="21"/>
          <w:lang w:eastAsia="zh-CN"/>
        </w:rPr>
        <w:t>园区、镇街和相关社会组织意见后</w:t>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月30日前提供审计报告终稿并完成编制问题汇总表；</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2020年度审计计划：2021年5月30日前进场进行对2019年度的现场审计工作，</w:t>
      </w:r>
      <w:r>
        <w:rPr>
          <w:rFonts w:hint="eastAsia" w:ascii="宋体" w:hAnsi="宋体" w:eastAsia="宋体" w:cs="宋体"/>
          <w:sz w:val="21"/>
          <w:szCs w:val="21"/>
          <w:lang w:val="en-US" w:eastAsia="zh-CN"/>
        </w:rPr>
        <w:t>8</w:t>
      </w:r>
      <w:r>
        <w:rPr>
          <w:rFonts w:hint="eastAsia" w:ascii="宋体" w:hAnsi="宋体" w:eastAsia="宋体" w:cs="宋体"/>
          <w:sz w:val="21"/>
          <w:szCs w:val="21"/>
        </w:rPr>
        <w:t>月31日完成对2020年度的现场审计并出具审计报告初稿，</w:t>
      </w:r>
      <w:r>
        <w:rPr>
          <w:rFonts w:hint="eastAsia" w:ascii="宋体" w:hAnsi="宋体" w:eastAsia="宋体" w:cs="宋体"/>
          <w:sz w:val="21"/>
          <w:szCs w:val="21"/>
          <w:lang w:eastAsia="zh-CN"/>
        </w:rPr>
        <w:t>经</w:t>
      </w:r>
      <w:r>
        <w:rPr>
          <w:rFonts w:hint="eastAsia" w:ascii="宋体" w:hAnsi="宋体" w:eastAsia="宋体" w:cs="宋体"/>
          <w:sz w:val="21"/>
          <w:szCs w:val="21"/>
        </w:rPr>
        <w:t>征求</w:t>
      </w:r>
      <w:r>
        <w:rPr>
          <w:rFonts w:hint="eastAsia" w:ascii="宋体" w:hAnsi="宋体" w:eastAsia="宋体" w:cs="宋体"/>
          <w:sz w:val="21"/>
          <w:szCs w:val="21"/>
          <w:lang w:eastAsia="zh-CN"/>
        </w:rPr>
        <w:t>园区、镇街和相关社会组织意见后</w:t>
      </w:r>
      <w:r>
        <w:rPr>
          <w:rFonts w:hint="eastAsia" w:ascii="宋体" w:hAnsi="宋体" w:eastAsia="宋体" w:cs="宋体"/>
          <w:sz w:val="21"/>
          <w:szCs w:val="21"/>
        </w:rPr>
        <w:t>，</w:t>
      </w:r>
      <w:r>
        <w:rPr>
          <w:rFonts w:hint="eastAsia" w:ascii="宋体" w:hAnsi="宋体" w:eastAsia="宋体" w:cs="宋体"/>
          <w:sz w:val="21"/>
          <w:szCs w:val="21"/>
          <w:lang w:val="en-US" w:eastAsia="zh-CN"/>
        </w:rPr>
        <w:t>10</w:t>
      </w:r>
      <w:r>
        <w:rPr>
          <w:rFonts w:hint="eastAsia" w:ascii="宋体" w:hAnsi="宋体" w:eastAsia="宋体" w:cs="宋体"/>
          <w:sz w:val="21"/>
          <w:szCs w:val="21"/>
        </w:rPr>
        <w:t>月30日前提供审计报告终稿并完成编制问题汇总表。</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六</w:t>
      </w:r>
      <w:r>
        <w:rPr>
          <w:rFonts w:hint="eastAsia" w:ascii="宋体" w:hAnsi="宋体" w:eastAsia="宋体" w:cs="宋体"/>
          <w:b/>
          <w:bCs/>
          <w:sz w:val="24"/>
          <w:szCs w:val="24"/>
        </w:rPr>
        <w:t>、提交的审计报告(报告由具有注册会计师签名确认)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审计报告需由两名具有注册会计师签名确认。</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本项目审计需</w:t>
      </w:r>
      <w:r>
        <w:rPr>
          <w:rFonts w:hint="eastAsia" w:ascii="宋体" w:hAnsi="宋体" w:eastAsia="宋体" w:cs="宋体"/>
          <w:sz w:val="21"/>
          <w:szCs w:val="21"/>
          <w:lang w:eastAsia="zh-CN"/>
        </w:rPr>
        <w:t>以</w:t>
      </w:r>
      <w:r>
        <w:rPr>
          <w:rFonts w:hint="eastAsia" w:ascii="宋体" w:hAnsi="宋体" w:eastAsia="宋体" w:cs="宋体"/>
          <w:sz w:val="21"/>
          <w:szCs w:val="21"/>
        </w:rPr>
        <w:t>各</w:t>
      </w:r>
      <w:r>
        <w:rPr>
          <w:rFonts w:hint="eastAsia" w:ascii="宋体" w:hAnsi="宋体" w:eastAsia="宋体" w:cs="宋体"/>
          <w:sz w:val="21"/>
          <w:szCs w:val="21"/>
          <w:lang w:eastAsia="zh-CN"/>
        </w:rPr>
        <w:t>园区、</w:t>
      </w:r>
      <w:r>
        <w:rPr>
          <w:rFonts w:hint="eastAsia" w:ascii="宋体" w:hAnsi="宋体" w:eastAsia="宋体" w:cs="宋体"/>
          <w:sz w:val="21"/>
          <w:szCs w:val="21"/>
        </w:rPr>
        <w:t>镇街</w:t>
      </w:r>
      <w:r>
        <w:rPr>
          <w:rFonts w:hint="eastAsia" w:ascii="宋体" w:hAnsi="宋体" w:eastAsia="宋体" w:cs="宋体"/>
          <w:sz w:val="21"/>
          <w:szCs w:val="21"/>
          <w:lang w:eastAsia="zh-CN"/>
        </w:rPr>
        <w:t>和</w:t>
      </w:r>
      <w:r>
        <w:rPr>
          <w:rFonts w:hint="eastAsia" w:ascii="宋体" w:hAnsi="宋体" w:eastAsia="宋体" w:cs="宋体"/>
          <w:sz w:val="21"/>
          <w:szCs w:val="21"/>
        </w:rPr>
        <w:t>社会组织</w:t>
      </w:r>
      <w:r>
        <w:rPr>
          <w:rFonts w:hint="eastAsia" w:ascii="宋体" w:hAnsi="宋体" w:eastAsia="宋体" w:cs="宋体"/>
          <w:sz w:val="21"/>
          <w:szCs w:val="21"/>
          <w:lang w:eastAsia="zh-CN"/>
        </w:rPr>
        <w:t>为单位，出具一份关于其</w:t>
      </w:r>
      <w:r>
        <w:rPr>
          <w:rFonts w:hint="eastAsia" w:ascii="宋体" w:hAnsi="宋体" w:eastAsia="宋体" w:cs="宋体"/>
          <w:sz w:val="21"/>
          <w:szCs w:val="21"/>
        </w:rPr>
        <w:t>资金管理支出情况</w:t>
      </w:r>
      <w:r>
        <w:rPr>
          <w:rFonts w:hint="eastAsia" w:ascii="宋体" w:hAnsi="宋体" w:eastAsia="宋体" w:cs="宋体"/>
          <w:sz w:val="21"/>
          <w:szCs w:val="21"/>
          <w:lang w:eastAsia="zh-CN"/>
        </w:rPr>
        <w:t>、</w:t>
      </w:r>
      <w:r>
        <w:rPr>
          <w:rFonts w:hint="eastAsia" w:ascii="宋体" w:hAnsi="宋体" w:eastAsia="宋体" w:cs="宋体"/>
          <w:sz w:val="21"/>
          <w:szCs w:val="21"/>
        </w:rPr>
        <w:t>内控管理情况</w:t>
      </w:r>
      <w:r>
        <w:rPr>
          <w:rFonts w:hint="eastAsia" w:ascii="宋体" w:hAnsi="宋体" w:eastAsia="宋体" w:cs="宋体"/>
          <w:sz w:val="21"/>
          <w:szCs w:val="21"/>
          <w:lang w:eastAsia="zh-CN"/>
        </w:rPr>
        <w:t>的</w:t>
      </w:r>
      <w:r>
        <w:rPr>
          <w:rFonts w:hint="eastAsia" w:ascii="宋体" w:hAnsi="宋体" w:eastAsia="宋体" w:cs="宋体"/>
          <w:sz w:val="21"/>
          <w:szCs w:val="21"/>
        </w:rPr>
        <w:t>审计报告；</w:t>
      </w:r>
    </w:p>
    <w:p>
      <w:pPr>
        <w:pStyle w:val="4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leftChars="0"/>
        <w:textAlignment w:val="auto"/>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　　</w:t>
      </w: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kern w:val="2"/>
          <w:sz w:val="21"/>
          <w:szCs w:val="21"/>
          <w:lang w:val="en-US" w:eastAsia="zh-CN" w:bidi="ar-SA"/>
        </w:rPr>
        <w:t>以资金预算项目为单位提供综合性项目审计报告：</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kern w:val="2"/>
          <w:sz w:val="21"/>
          <w:szCs w:val="21"/>
          <w:lang w:val="en-US" w:eastAsia="zh-CN" w:bidi="ar-SA"/>
        </w:rPr>
        <w:t>2019年涉及园区、镇街的预算项目有28个，预计2020年有25个，据实际拨付项目数量审计；提供针对</w:t>
      </w:r>
      <w:r>
        <w:rPr>
          <w:rFonts w:hint="eastAsia" w:ascii="宋体" w:hAnsi="宋体" w:eastAsia="宋体" w:cs="宋体"/>
          <w:sz w:val="21"/>
          <w:szCs w:val="21"/>
        </w:rPr>
        <w:t>所审计单位的综合性项目审计报告，以反映所审计项目整体基本情况、整体结余情况、及时缴回或抵扣情况，整体内控管理情况与问题汇总、专项资金使用管理总体情况，针对专项资金建立内控管理制度及其执行情况，同时对具体存在问题进行汇总分析及提供的审计建议。</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出具的审计报告，内容包括但不仅限于：资金使用情况、镇街财政资金配套情况、落实到位情况、资金绩效情况、存在的问题以及整改建议等。</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4.提交审计报告后，需同步</w:t>
      </w:r>
      <w:r>
        <w:rPr>
          <w:rFonts w:hint="eastAsia" w:ascii="宋体" w:hAnsi="宋体" w:eastAsia="宋体" w:cs="宋体"/>
          <w:sz w:val="21"/>
          <w:szCs w:val="21"/>
        </w:rPr>
        <w:t>完成</w:t>
      </w:r>
      <w:r>
        <w:rPr>
          <w:rFonts w:hint="eastAsia" w:ascii="宋体" w:hAnsi="宋体" w:eastAsia="宋体" w:cs="宋体"/>
          <w:sz w:val="21"/>
          <w:szCs w:val="21"/>
          <w:lang w:eastAsia="zh-CN"/>
        </w:rPr>
        <w:t>对园区、镇街的</w:t>
      </w:r>
      <w:r>
        <w:rPr>
          <w:rFonts w:hint="eastAsia" w:ascii="宋体" w:hAnsi="宋体" w:eastAsia="宋体" w:cs="宋体"/>
          <w:sz w:val="21"/>
          <w:szCs w:val="21"/>
        </w:rPr>
        <w:t>审计问题汇总表</w:t>
      </w:r>
      <w:r>
        <w:rPr>
          <w:rFonts w:hint="eastAsia" w:ascii="宋体" w:hAnsi="宋体" w:eastAsia="宋体" w:cs="宋体"/>
          <w:sz w:val="21"/>
          <w:szCs w:val="21"/>
          <w:lang w:eastAsia="zh-CN"/>
        </w:rPr>
        <w:t>，内容包括：审计发现</w:t>
      </w:r>
      <w:r>
        <w:rPr>
          <w:rFonts w:hint="eastAsia" w:ascii="宋体" w:hAnsi="宋体" w:eastAsia="宋体" w:cs="宋体"/>
          <w:sz w:val="21"/>
          <w:szCs w:val="21"/>
        </w:rPr>
        <w:t>问题、整改建议和资金使用</w:t>
      </w:r>
      <w:r>
        <w:rPr>
          <w:rFonts w:hint="eastAsia" w:ascii="宋体" w:hAnsi="宋体" w:eastAsia="宋体" w:cs="宋体"/>
          <w:sz w:val="21"/>
          <w:szCs w:val="21"/>
          <w:lang w:eastAsia="zh-CN"/>
        </w:rPr>
        <w:t>结余数据</w:t>
      </w:r>
      <w:r>
        <w:rPr>
          <w:rFonts w:hint="eastAsia" w:ascii="宋体" w:hAnsi="宋体" w:eastAsia="宋体" w:cs="宋体"/>
          <w:sz w:val="21"/>
          <w:szCs w:val="21"/>
        </w:rPr>
        <w:t>等</w:t>
      </w:r>
      <w:r>
        <w:rPr>
          <w:rFonts w:hint="eastAsia" w:ascii="宋体" w:hAnsi="宋体" w:eastAsia="宋体" w:cs="宋体"/>
          <w:sz w:val="21"/>
          <w:szCs w:val="21"/>
          <w:lang w:eastAsia="zh-CN"/>
        </w:rPr>
        <w:t>；待整改完成后，需完成整改情况汇总表，包括：整改措施、资金缴回数据等。</w:t>
      </w:r>
    </w:p>
    <w:p>
      <w:pPr>
        <w:keepNext w:val="0"/>
        <w:keepLines w:val="0"/>
        <w:pageBreakBefore w:val="0"/>
        <w:widowControl w:val="0"/>
        <w:kinsoku/>
        <w:wordWrap/>
        <w:overflowPunct/>
        <w:topLinePunct w:val="0"/>
        <w:autoSpaceDE/>
        <w:autoSpaceDN/>
        <w:bidi w:val="0"/>
        <w:adjustRightInd/>
        <w:snapToGrid/>
        <w:spacing w:after="0"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lang w:eastAsia="zh-CN"/>
        </w:rPr>
        <w:t>七、</w:t>
      </w:r>
      <w:r>
        <w:rPr>
          <w:rFonts w:hint="eastAsia" w:ascii="宋体" w:hAnsi="宋体" w:eastAsia="宋体" w:cs="宋体"/>
          <w:b/>
          <w:bCs/>
          <w:sz w:val="24"/>
          <w:szCs w:val="24"/>
        </w:rPr>
        <w:t>付款方式</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该项目两年财政预算资金为</w:t>
      </w:r>
      <w:r>
        <w:rPr>
          <w:rFonts w:hint="eastAsia" w:ascii="宋体" w:hAnsi="宋体" w:eastAsia="宋体" w:cs="宋体"/>
          <w:sz w:val="21"/>
          <w:szCs w:val="21"/>
          <w:lang w:val="en-US" w:eastAsia="zh-CN"/>
        </w:rPr>
        <w:t>72万元，付款期如下：</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1.双方签订合同后采购人支付合同金额的25%；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2.完成2019年审计工作并提交正式审计报告，以及完成审计问题汇总情况表，经验收合格后支付合同金额的25%；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3.完成2019年审计整改情况汇总表，并开始启动2020年审计工作时支付合同金额的25%；</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4.完成2020年审计工作并提交正式审计报告，以及完成审计问题汇总情况表，经验收合格后支付合同金额的20%；</w:t>
      </w:r>
    </w:p>
    <w:p>
      <w:pPr>
        <w:keepNext w:val="0"/>
        <w:keepLines w:val="0"/>
        <w:pageBreakBefore w:val="0"/>
        <w:widowControl w:val="0"/>
        <w:kinsoku/>
        <w:wordWrap/>
        <w:overflowPunct/>
        <w:topLinePunct w:val="0"/>
        <w:autoSpaceDE/>
        <w:autoSpaceDN/>
        <w:bidi w:val="0"/>
        <w:adjustRightInd/>
        <w:snapToGrid/>
        <w:spacing w:after="0"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5.完成2020年审计整改情况汇总表后支付合同金额的5%。</w:t>
      </w:r>
    </w:p>
    <w:p>
      <w:pPr>
        <w:pStyle w:val="6"/>
        <w:rPr>
          <w:rFonts w:hint="eastAsia"/>
        </w:rPr>
      </w:pPr>
    </w:p>
    <w:p>
      <w:pPr>
        <w:spacing w:after="0" w:line="360" w:lineRule="auto"/>
        <w:ind w:firstLine="422" w:firstLineChars="200"/>
        <w:rPr>
          <w:rFonts w:ascii="宋体" w:hAnsi="宋体" w:eastAsia="宋体" w:cs="Times New Roman"/>
          <w:b/>
          <w:bCs/>
          <w:color w:val="auto"/>
          <w:sz w:val="21"/>
          <w:szCs w:val="21"/>
        </w:rPr>
      </w:pPr>
      <w:r>
        <w:rPr>
          <w:rFonts w:hint="eastAsia" w:ascii="宋体" w:hAnsi="宋体" w:eastAsia="宋体" w:cs="Times New Roman"/>
          <w:b/>
          <w:bCs/>
          <w:color w:val="auto"/>
          <w:sz w:val="21"/>
          <w:szCs w:val="21"/>
        </w:rPr>
        <w:t>注：不满足招标文件中 “★”条款的投标文件将作无效投标处理。</w:t>
      </w:r>
      <w:bookmarkEnd w:id="6"/>
      <w:bookmarkEnd w:id="7"/>
      <w:bookmarkEnd w:id="8"/>
      <w:bookmarkEnd w:id="9"/>
    </w:p>
    <w:p>
      <w:pPr>
        <w:pStyle w:val="2"/>
        <w:spacing w:before="0" w:after="0" w:line="240" w:lineRule="auto"/>
        <w:rPr>
          <w:color w:val="auto"/>
          <w:sz w:val="24"/>
          <w:szCs w:val="24"/>
        </w:rPr>
      </w:pPr>
      <w:r>
        <w:rPr>
          <w:rFonts w:hint="eastAsia"/>
          <w:color w:val="auto"/>
          <w:sz w:val="24"/>
          <w:szCs w:val="24"/>
        </w:rPr>
        <w:br w:type="page"/>
      </w:r>
      <w:bookmarkStart w:id="10" w:name="_Toc2479"/>
      <w:r>
        <w:rPr>
          <w:rFonts w:hint="eastAsia"/>
          <w:color w:val="auto"/>
          <w:sz w:val="28"/>
          <w:szCs w:val="28"/>
        </w:rPr>
        <w:t>第四部分 投标人须知</w:t>
      </w:r>
      <w:bookmarkEnd w:id="10"/>
    </w:p>
    <w:p>
      <w:pPr>
        <w:pStyle w:val="3"/>
        <w:numPr>
          <w:ilvl w:val="0"/>
          <w:numId w:val="1"/>
        </w:numPr>
        <w:spacing w:before="0" w:after="0" w:line="480" w:lineRule="auto"/>
        <w:jc w:val="center"/>
        <w:rPr>
          <w:rFonts w:ascii="宋体" w:hAnsi="宋体" w:eastAsia="宋体"/>
          <w:color w:val="auto"/>
        </w:rPr>
      </w:pPr>
      <w:bookmarkStart w:id="11" w:name="_Toc19746"/>
      <w:r>
        <w:rPr>
          <w:rFonts w:hint="eastAsia" w:ascii="宋体" w:hAnsi="宋体" w:eastAsia="宋体"/>
          <w:color w:val="auto"/>
        </w:rPr>
        <w:t>说明</w:t>
      </w:r>
      <w:bookmarkEnd w:id="11"/>
    </w:p>
    <w:p>
      <w:pPr>
        <w:pStyle w:val="4"/>
        <w:widowControl w:val="0"/>
        <w:overflowPunct w:val="0"/>
        <w:spacing w:before="0" w:after="0" w:line="240" w:lineRule="auto"/>
        <w:rPr>
          <w:rFonts w:ascii="宋体" w:hAnsi="宋体" w:eastAsia="宋体"/>
          <w:color w:val="auto"/>
          <w:sz w:val="21"/>
          <w:szCs w:val="21"/>
        </w:rPr>
      </w:pPr>
      <w:bookmarkStart w:id="12" w:name="_Toc18488"/>
      <w:r>
        <w:rPr>
          <w:rFonts w:hint="eastAsia" w:ascii="宋体" w:hAnsi="宋体" w:eastAsia="宋体"/>
          <w:color w:val="auto"/>
          <w:sz w:val="21"/>
          <w:szCs w:val="21"/>
        </w:rPr>
        <w:t>1.适用范围</w:t>
      </w:r>
      <w:bookmarkEnd w:id="12"/>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招标范围：见本文件《用户需求书》</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13" w:name="_Toc13400"/>
      <w:r>
        <w:rPr>
          <w:rFonts w:hint="eastAsia" w:ascii="宋体" w:hAnsi="宋体" w:eastAsia="宋体"/>
          <w:color w:val="auto"/>
          <w:sz w:val="21"/>
          <w:szCs w:val="21"/>
        </w:rPr>
        <w:t>2.</w:t>
      </w:r>
      <w:bookmarkStart w:id="14" w:name="_Toc303084246"/>
      <w:bookmarkStart w:id="15" w:name="_Toc298847174"/>
      <w:bookmarkStart w:id="16" w:name="_Toc1530"/>
      <w:bookmarkStart w:id="17" w:name="_Toc382049092"/>
      <w:r>
        <w:rPr>
          <w:rFonts w:hint="eastAsia" w:ascii="宋体" w:hAnsi="宋体" w:eastAsia="宋体"/>
          <w:color w:val="auto"/>
          <w:sz w:val="21"/>
          <w:szCs w:val="21"/>
        </w:rPr>
        <w:t>定义</w:t>
      </w:r>
      <w:bookmarkEnd w:id="13"/>
      <w:bookmarkEnd w:id="14"/>
      <w:bookmarkEnd w:id="15"/>
      <w:bookmarkEnd w:id="16"/>
      <w:bookmarkEnd w:id="17"/>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采购人：</w:t>
      </w:r>
      <w:r>
        <w:rPr>
          <w:rFonts w:ascii="宋体" w:hAnsi="宋体" w:eastAsia="宋体"/>
          <w:color w:val="auto"/>
          <w:sz w:val="21"/>
          <w:szCs w:val="21"/>
        </w:rPr>
        <w:t>是指依法进行政府采购的国家机关、事业单位</w:t>
      </w:r>
      <w:r>
        <w:rPr>
          <w:rFonts w:hint="eastAsia" w:ascii="宋体" w:hAnsi="宋体" w:eastAsia="宋体"/>
          <w:color w:val="auto"/>
          <w:sz w:val="21"/>
          <w:szCs w:val="21"/>
        </w:rPr>
        <w:t>等</w:t>
      </w:r>
      <w:r>
        <w:rPr>
          <w:rFonts w:ascii="宋体" w:hAnsi="宋体" w:eastAsia="宋体"/>
          <w:color w:val="auto"/>
          <w:sz w:val="21"/>
          <w:szCs w:val="21"/>
        </w:rPr>
        <w:t>团体组织</w:t>
      </w:r>
      <w:r>
        <w:rPr>
          <w:rFonts w:hint="eastAsia" w:ascii="宋体" w:hAnsi="宋体" w:eastAsia="宋体"/>
          <w:color w:val="auto"/>
          <w:sz w:val="21"/>
          <w:szCs w:val="21"/>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投标人：响应招标并且符合招标文件规定资格条件和参加投标竞争的法人、其他组织或者自然人。</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法人：法人是依法在国内进行注册并具有民事权利能力和民事行为能力，依法独立享有民事权利和承担民事义务的组织。</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中标人：指经评标委员会评审推荐、采购人确认的获得本项目中标资格的投标人。</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采购代理机构：三方诚信招标有限公司东莞分公司。</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评标委员会：评标委员会是依据《中华人民共和国政府采购法》及其实施条例、《政府采购货物和服务招标投标管理办法》等组建的专门负责本次招标其评标工作的临时性机构。</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合同：指由本次招标所产生的合同或合约文件。</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公章：</w:t>
      </w:r>
      <w:r>
        <w:rPr>
          <w:rFonts w:ascii="宋体" w:hAnsi="宋体" w:eastAsia="宋体"/>
          <w:color w:val="auto"/>
          <w:sz w:val="21"/>
          <w:szCs w:val="21"/>
        </w:rPr>
        <w:t>公章是</w:t>
      </w:r>
      <w:r>
        <w:rPr>
          <w:rFonts w:ascii="宋体" w:hAnsi="宋体" w:eastAsia="宋体"/>
          <w:iCs/>
          <w:color w:val="auto"/>
          <w:sz w:val="21"/>
          <w:szCs w:val="21"/>
        </w:rPr>
        <w:t>指</w:t>
      </w:r>
      <w:r>
        <w:rPr>
          <w:rFonts w:hint="eastAsia" w:ascii="宋体" w:hAnsi="宋体" w:eastAsia="宋体"/>
          <w:iCs/>
          <w:color w:val="auto"/>
          <w:sz w:val="21"/>
          <w:szCs w:val="21"/>
        </w:rPr>
        <w:t>经过正规的法定程序并备案的法人公章与投标专用章。（投标人如在投标文件中使用“投标专用章”，应提供法定代表人签字或加盖公章说明该“投标专用章”与法人公章具备同等效力的证明文件，且投标当天应携带相关原件到现场，以供核查。因投标文件未提供相关手续复印件和无法核查投标专用章的真实性而导致的后果由投标人自行承担。</w:t>
      </w:r>
      <w:r>
        <w:rPr>
          <w:rFonts w:hint="eastAsia" w:ascii="宋体" w:hAnsi="宋体" w:eastAsia="宋体"/>
          <w:color w:val="auto"/>
          <w:sz w:val="21"/>
          <w:szCs w:val="21"/>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时间</w:t>
      </w:r>
      <w:r>
        <w:rPr>
          <w:rFonts w:hint="eastAsia" w:ascii="宋体" w:hAnsi="宋体" w:eastAsia="宋体"/>
          <w:iCs/>
          <w:color w:val="auto"/>
          <w:sz w:val="21"/>
          <w:szCs w:val="21"/>
        </w:rPr>
        <w:t>：本文件规定按日计算期间的，开始当天不计入，从次日开始计算。期限的最后一日是国家法定节假日的，顺延到节假日后的次日为期限的最后一日。</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18" w:name="_Toc3780"/>
      <w:r>
        <w:rPr>
          <w:rFonts w:hint="eastAsia" w:ascii="宋体" w:hAnsi="宋体" w:eastAsia="宋体"/>
          <w:color w:val="auto"/>
          <w:sz w:val="21"/>
          <w:szCs w:val="21"/>
        </w:rPr>
        <w:t>3.货物和服务</w:t>
      </w:r>
      <w:bookmarkEnd w:id="18"/>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货物</w:t>
      </w:r>
      <w:r>
        <w:rPr>
          <w:rFonts w:ascii="宋体" w:hAnsi="宋体" w:eastAsia="宋体"/>
          <w:color w:val="auto"/>
          <w:sz w:val="21"/>
          <w:szCs w:val="21"/>
        </w:rPr>
        <w:t>是指各种形态和种类的物品，包括原材料、燃料、设备、产品等</w:t>
      </w:r>
      <w:r>
        <w:rPr>
          <w:rFonts w:hint="eastAsia" w:ascii="宋体" w:hAnsi="宋体" w:eastAsia="宋体"/>
          <w:color w:val="auto"/>
          <w:sz w:val="21"/>
          <w:szCs w:val="21"/>
        </w:rPr>
        <w:t>。</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服务是指</w:t>
      </w:r>
      <w:r>
        <w:rPr>
          <w:rFonts w:ascii="宋体" w:hAnsi="宋体" w:eastAsia="宋体"/>
          <w:color w:val="auto"/>
          <w:sz w:val="21"/>
          <w:szCs w:val="21"/>
        </w:rPr>
        <w:t>除货物和工程以外的其他政府采购对象</w:t>
      </w:r>
      <w:r>
        <w:rPr>
          <w:rFonts w:hint="eastAsia" w:ascii="宋体" w:hAnsi="宋体" w:eastAsia="宋体"/>
          <w:color w:val="auto"/>
          <w:sz w:val="21"/>
          <w:szCs w:val="21"/>
        </w:rPr>
        <w:t>。</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19" w:name="_Toc15945"/>
      <w:r>
        <w:rPr>
          <w:rFonts w:hint="eastAsia" w:ascii="宋体" w:hAnsi="宋体" w:eastAsia="宋体"/>
          <w:color w:val="auto"/>
          <w:sz w:val="21"/>
          <w:szCs w:val="21"/>
        </w:rPr>
        <w:t>4.投标费用</w:t>
      </w:r>
      <w:bookmarkEnd w:id="19"/>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投标人应承担所有与编写投标文件和参加投标有关的自身的所有费用，不论投标的结果如何，采购代理机构和采购人在任何情况下均无义务和责任承担这些费用。</w:t>
      </w:r>
    </w:p>
    <w:p>
      <w:pPr>
        <w:widowControl w:val="0"/>
        <w:adjustRightInd/>
        <w:snapToGrid/>
        <w:spacing w:after="0" w:line="360" w:lineRule="exact"/>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20" w:name="_Toc25040"/>
      <w:r>
        <w:rPr>
          <w:rFonts w:hint="eastAsia" w:ascii="宋体" w:hAnsi="宋体" w:eastAsia="宋体"/>
          <w:color w:val="auto"/>
          <w:sz w:val="21"/>
          <w:szCs w:val="21"/>
        </w:rPr>
        <w:t>5.知识产权</w:t>
      </w:r>
      <w:bookmarkEnd w:id="20"/>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采购人享有本项目实施过程中产生的知识成果及知识产权。</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投标人如欲在项目实施过程中采用自有知识成果，需在投标文件中声明，并提供相关知识产权证明文件。使用该知识成果后，投标人需提供开发接口和开发手册等技术文档。</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rPr>
      </w:pPr>
      <w:r>
        <w:rPr>
          <w:rFonts w:hint="eastAsia" w:ascii="宋体" w:hAnsi="宋体" w:eastAsia="宋体"/>
          <w:color w:val="auto"/>
          <w:sz w:val="21"/>
          <w:szCs w:val="21"/>
        </w:rPr>
        <w:t>采购货物为计算机办公设备时，投标人提供的产品必须是预装正版操作系统软件的计算机产品。</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hint="eastAsia" w:ascii="宋体" w:hAnsi="宋体" w:eastAsia="宋体"/>
          <w:color w:val="auto"/>
          <w:sz w:val="21"/>
          <w:szCs w:val="21"/>
        </w:rPr>
      </w:pPr>
      <w:r>
        <w:rPr>
          <w:rFonts w:hint="eastAsia" w:ascii="宋体" w:hAnsi="宋体" w:eastAsia="宋体"/>
          <w:color w:val="auto"/>
          <w:sz w:val="21"/>
          <w:szCs w:val="21"/>
          <w:lang w:eastAsia="zh-CN"/>
        </w:rPr>
        <w:t>投标人提供的服务、货物经认定存在侵权行为的，其投标无效，并上报相关监管部门。</w:t>
      </w:r>
    </w:p>
    <w:p>
      <w:pPr>
        <w:widowControl w:val="0"/>
        <w:adjustRightInd/>
        <w:snapToGrid/>
        <w:spacing w:after="0" w:line="360" w:lineRule="exact"/>
        <w:ind w:left="567"/>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21" w:name="_Toc21930"/>
      <w:r>
        <w:rPr>
          <w:rFonts w:hint="eastAsia" w:ascii="宋体" w:hAnsi="宋体" w:eastAsia="宋体"/>
          <w:color w:val="auto"/>
          <w:sz w:val="21"/>
          <w:szCs w:val="21"/>
        </w:rPr>
        <w:t>6.关于联合体投标</w:t>
      </w:r>
      <w:bookmarkEnd w:id="21"/>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对接受联合体投标的项目：两个以上的自然人、法人或者其他组织可以组成一个联合体，以一个投标人的身份共同参加政府采购。</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以联合体形式参与项目的</w:t>
      </w:r>
      <w:r>
        <w:rPr>
          <w:rFonts w:hint="eastAsia" w:ascii="宋体" w:hAnsi="宋体" w:eastAsia="宋体"/>
          <w:color w:val="auto"/>
          <w:sz w:val="21"/>
          <w:szCs w:val="21"/>
          <w:lang w:eastAsia="zh-CN"/>
        </w:rPr>
        <w:t>供应商</w:t>
      </w:r>
      <w:r>
        <w:rPr>
          <w:rFonts w:hint="eastAsia" w:ascii="宋体" w:hAnsi="宋体" w:eastAsia="宋体"/>
          <w:color w:val="auto"/>
          <w:sz w:val="21"/>
          <w:szCs w:val="21"/>
        </w:rPr>
        <w:t>在领购</w:t>
      </w:r>
      <w:r>
        <w:rPr>
          <w:rFonts w:hint="eastAsia" w:ascii="宋体" w:hAnsi="宋体" w:eastAsia="宋体"/>
          <w:color w:val="auto"/>
          <w:sz w:val="21"/>
          <w:szCs w:val="21"/>
          <w:lang w:val="en-US" w:eastAsia="zh-CN"/>
        </w:rPr>
        <w:t>招标</w:t>
      </w:r>
      <w:r>
        <w:rPr>
          <w:rFonts w:hint="eastAsia" w:ascii="宋体" w:hAnsi="宋体" w:eastAsia="宋体"/>
          <w:color w:val="auto"/>
          <w:sz w:val="21"/>
          <w:szCs w:val="21"/>
        </w:rPr>
        <w:t>文件时，应提供所有联合体组成成员的营业执照复印件，并加盖各联合体组成成员的公章。</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联合体各方均应当符合《政府采购法》第二十二条规定的条件。</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采购人根据采购项目的特殊要求规定投标人特定条件的，联合体各方中至少应当有一方符合采购人规定的特定条件。</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联合体各方之间应当签订共同投标协议并</w:t>
      </w:r>
      <w:r>
        <w:rPr>
          <w:rFonts w:ascii="宋体" w:hAnsi="宋体" w:eastAsia="宋体"/>
          <w:color w:val="auto"/>
          <w:sz w:val="21"/>
          <w:szCs w:val="21"/>
        </w:rPr>
        <w:t>在投标文件内提交</w:t>
      </w:r>
      <w:r>
        <w:rPr>
          <w:rFonts w:hint="eastAsia" w:ascii="宋体" w:hAnsi="宋体" w:eastAsia="宋体"/>
          <w:color w:val="auto"/>
          <w:sz w:val="21"/>
          <w:szCs w:val="21"/>
        </w:rPr>
        <w:t>，明确约定联合体各方承担的工作和相应的责任。联合体各方签订共同投标协议后，不得再以自己名义单独在同一项目中投标，也不得组成新的联合体参加同一项目投标。</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供应商为联合体的，可以由联合体中的任意一方交纳保证金，其交纳的保证金对联合体各方均具有约束力。</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联合体中有同类资质的投标人按照联合体分工承担相同工作的，应当按照资质等级较低的供应商确定资质等级。</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联合体各方均为小型、微型企业的，各方均应提供《中小企业声明函》；中小企业声明函作为联合体一方参与政府采购活动，且《共同投标协议书》中约定，小型、微型企业的协议合同金额占到联合体协议合同总金额30%以上的，应附中小微企业的《中小企业声明函》。</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除联合体协议明确授权盖章单位外，联合体投标时投标文件中所有要求盖章的地方均须加盖联合体所有组成成员的公章，否则该处盖章无效。</w:t>
      </w:r>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联合体进行评分时，业绩、奖项等的认定和评分根据共同投标协议约定的各方承担的工作和相应责任，确定一方打分，不累加打分；评审标准不明确或难以明确以哪一方计算评分情况时，则按主体方情况评分。</w:t>
      </w:r>
    </w:p>
    <w:p>
      <w:pPr>
        <w:widowControl w:val="0"/>
        <w:adjustRightInd/>
        <w:snapToGrid/>
        <w:spacing w:after="0" w:line="360" w:lineRule="exact"/>
        <w:ind w:left="567"/>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22" w:name="_Toc16571"/>
      <w:r>
        <w:rPr>
          <w:rFonts w:hint="eastAsia" w:ascii="宋体" w:hAnsi="宋体" w:eastAsia="宋体"/>
          <w:color w:val="auto"/>
          <w:sz w:val="21"/>
          <w:szCs w:val="21"/>
        </w:rPr>
        <w:t>7.关于分支机构投标</w:t>
      </w:r>
      <w:bookmarkEnd w:id="22"/>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23" w:name="EB389f116341dd4693875bc7987e7327f3"/>
    </w:p>
    <w:p>
      <w:pPr>
        <w:keepNext w:val="0"/>
        <w:keepLines w:val="0"/>
        <w:pageBreakBefore w:val="0"/>
        <w:widowControl w:val="0"/>
        <w:numPr>
          <w:ilvl w:val="1"/>
          <w:numId w:val="2"/>
        </w:numPr>
        <w:kinsoku/>
        <w:wordWrap/>
        <w:overflowPunct/>
        <w:topLinePunct w:val="0"/>
        <w:autoSpaceDE/>
        <w:autoSpaceDN/>
        <w:bidi w:val="0"/>
        <w:adjustRightInd/>
        <w:snapToGrid/>
        <w:spacing w:after="0" w:line="240" w:lineRule="auto"/>
        <w:ind w:left="567" w:hanging="567"/>
        <w:jc w:val="both"/>
        <w:textAlignment w:val="auto"/>
        <w:rPr>
          <w:rFonts w:ascii="宋体" w:hAnsi="宋体" w:eastAsia="宋体"/>
          <w:color w:val="auto"/>
          <w:sz w:val="21"/>
          <w:szCs w:val="21"/>
        </w:rPr>
      </w:pPr>
      <w:r>
        <w:rPr>
          <w:rFonts w:ascii="宋体" w:hAnsi="宋体" w:eastAsia="宋体"/>
          <w:color w:val="auto"/>
          <w:sz w:val="21"/>
          <w:szCs w:val="21"/>
        </w:rPr>
        <w:t>对可接受</w:t>
      </w:r>
      <w:r>
        <w:rPr>
          <w:rFonts w:hint="eastAsia" w:ascii="宋体" w:hAnsi="宋体" w:eastAsia="宋体"/>
          <w:color w:val="auto"/>
          <w:sz w:val="21"/>
          <w:szCs w:val="21"/>
        </w:rPr>
        <w:t>分支机构</w:t>
      </w:r>
      <w:r>
        <w:rPr>
          <w:rFonts w:ascii="宋体" w:hAnsi="宋体" w:eastAsia="宋体"/>
          <w:color w:val="auto"/>
          <w:sz w:val="21"/>
          <w:szCs w:val="21"/>
        </w:rPr>
        <w:t>投标的项目，</w:t>
      </w:r>
      <w:r>
        <w:rPr>
          <w:rFonts w:hint="eastAsia" w:ascii="宋体" w:hAnsi="宋体" w:eastAsia="宋体"/>
          <w:color w:val="auto"/>
          <w:sz w:val="21"/>
          <w:szCs w:val="21"/>
        </w:rPr>
        <w:t>分支机构</w:t>
      </w:r>
      <w:r>
        <w:rPr>
          <w:rFonts w:ascii="宋体" w:hAnsi="宋体" w:eastAsia="宋体"/>
          <w:color w:val="auto"/>
          <w:sz w:val="21"/>
          <w:szCs w:val="21"/>
        </w:rPr>
        <w:t>投标的，需提供具有法人资格的总公司的营业执照原件扫描件及授权书，授权书须加盖总公司公章。总公司可就本项目或此类项目在一定范围或时间内出具授权书。已由总公司授权的，总公司取得的相关资质证书对分公司有效，法律法规或者行业另有规定的除外。</w:t>
      </w:r>
      <w:bookmarkEnd w:id="23"/>
    </w:p>
    <w:p>
      <w:pPr>
        <w:rPr>
          <w:color w:val="auto"/>
        </w:rPr>
      </w:pPr>
    </w:p>
    <w:p>
      <w:pPr>
        <w:pStyle w:val="3"/>
        <w:numPr>
          <w:ilvl w:val="0"/>
          <w:numId w:val="1"/>
        </w:numPr>
        <w:spacing w:before="0" w:after="0" w:line="480" w:lineRule="auto"/>
        <w:jc w:val="center"/>
        <w:rPr>
          <w:rFonts w:ascii="宋体" w:hAnsi="宋体" w:eastAsia="宋体"/>
          <w:color w:val="auto"/>
        </w:rPr>
      </w:pPr>
      <w:bookmarkStart w:id="24" w:name="_Toc17879"/>
      <w:r>
        <w:rPr>
          <w:rFonts w:hint="eastAsia" w:ascii="宋体" w:hAnsi="宋体" w:eastAsia="宋体"/>
          <w:color w:val="auto"/>
        </w:rPr>
        <w:t>招标文件</w:t>
      </w:r>
      <w:bookmarkEnd w:id="24"/>
    </w:p>
    <w:p>
      <w:pPr>
        <w:pStyle w:val="4"/>
        <w:widowControl w:val="0"/>
        <w:overflowPunct w:val="0"/>
        <w:spacing w:before="0" w:after="0" w:line="240" w:lineRule="auto"/>
        <w:rPr>
          <w:rFonts w:ascii="宋体" w:hAnsi="宋体" w:eastAsia="宋体"/>
          <w:color w:val="auto"/>
          <w:sz w:val="21"/>
          <w:szCs w:val="21"/>
        </w:rPr>
      </w:pPr>
      <w:bookmarkStart w:id="25" w:name="_Toc21771"/>
      <w:r>
        <w:rPr>
          <w:rFonts w:hint="eastAsia" w:ascii="宋体" w:hAnsi="宋体" w:eastAsia="宋体"/>
          <w:color w:val="auto"/>
          <w:sz w:val="21"/>
          <w:szCs w:val="21"/>
        </w:rPr>
        <w:t>8.招标文件的组成</w:t>
      </w:r>
      <w:bookmarkEnd w:id="25"/>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（1）投标邀请书；</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（2）投标资料表；</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（3）用户需求书；</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（4）投标人须知；</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（5）合同文本</w:t>
      </w:r>
      <w:r>
        <w:rPr>
          <w:rFonts w:hint="eastAsia" w:ascii="宋体" w:hAnsi="宋体" w:eastAsia="宋体"/>
          <w:color w:val="auto"/>
          <w:sz w:val="21"/>
          <w:szCs w:val="21"/>
          <w:lang w:eastAsia="zh-CN"/>
        </w:rPr>
        <w:t>参考格式</w:t>
      </w:r>
      <w:r>
        <w:rPr>
          <w:rFonts w:hint="eastAsia" w:ascii="宋体" w:hAnsi="宋体" w:eastAsia="宋体"/>
          <w:color w:val="auto"/>
          <w:sz w:val="21"/>
          <w:szCs w:val="21"/>
        </w:rPr>
        <w:t>；</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（6）投标文件</w:t>
      </w:r>
      <w:r>
        <w:rPr>
          <w:rFonts w:hint="eastAsia" w:ascii="宋体" w:hAnsi="宋体" w:eastAsia="宋体"/>
          <w:color w:val="auto"/>
          <w:sz w:val="21"/>
          <w:szCs w:val="21"/>
          <w:lang w:eastAsia="zh-CN"/>
        </w:rPr>
        <w:t>参考</w:t>
      </w:r>
      <w:r>
        <w:rPr>
          <w:rFonts w:hint="eastAsia" w:ascii="宋体" w:hAnsi="宋体" w:eastAsia="宋体"/>
          <w:color w:val="auto"/>
          <w:sz w:val="21"/>
          <w:szCs w:val="21"/>
        </w:rPr>
        <w:t>格式；</w:t>
      </w:r>
    </w:p>
    <w:p>
      <w:pPr>
        <w:keepNext w:val="0"/>
        <w:keepLines w:val="0"/>
        <w:pageBreakBefore w:val="0"/>
        <w:widowControl w:val="0"/>
        <w:kinsoku/>
        <w:wordWrap/>
        <w:overflowPunct/>
        <w:topLinePunct w:val="0"/>
        <w:autoSpaceDE/>
        <w:autoSpaceDN/>
        <w:bidi w:val="0"/>
        <w:adjustRightInd/>
        <w:snapToGrid/>
        <w:spacing w:after="0" w:line="360" w:lineRule="exact"/>
        <w:jc w:val="both"/>
        <w:textAlignment w:val="auto"/>
        <w:rPr>
          <w:rFonts w:ascii="宋体" w:hAnsi="宋体" w:eastAsia="宋体"/>
          <w:color w:val="auto"/>
          <w:sz w:val="21"/>
          <w:szCs w:val="21"/>
        </w:rPr>
      </w:pPr>
      <w:r>
        <w:rPr>
          <w:rFonts w:hint="eastAsia" w:ascii="宋体" w:hAnsi="宋体" w:eastAsia="宋体"/>
          <w:color w:val="auto"/>
          <w:sz w:val="21"/>
          <w:szCs w:val="21"/>
        </w:rPr>
        <w:t>（7）在招标过程中由采购代理机构发出的澄清更正文件等。</w:t>
      </w:r>
    </w:p>
    <w:p>
      <w:pPr>
        <w:keepNext w:val="0"/>
        <w:keepLines w:val="0"/>
        <w:pageBreakBefore w:val="0"/>
        <w:widowControl/>
        <w:kinsoku/>
        <w:wordWrap/>
        <w:overflowPunct/>
        <w:topLinePunct w:val="0"/>
        <w:autoSpaceDE/>
        <w:autoSpaceDN/>
        <w:bidi w:val="0"/>
        <w:adjustRightInd w:val="0"/>
        <w:snapToGrid w:val="0"/>
        <w:spacing w:after="0" w:line="240" w:lineRule="auto"/>
        <w:textAlignment w:val="auto"/>
        <w:rPr>
          <w:color w:val="auto"/>
        </w:rPr>
      </w:pPr>
    </w:p>
    <w:p>
      <w:pPr>
        <w:pStyle w:val="4"/>
        <w:widowControl w:val="0"/>
        <w:overflowPunct w:val="0"/>
        <w:spacing w:before="0" w:after="0" w:line="240" w:lineRule="auto"/>
        <w:rPr>
          <w:rFonts w:ascii="宋体" w:hAnsi="宋体" w:eastAsia="宋体"/>
          <w:color w:val="auto"/>
          <w:sz w:val="21"/>
          <w:szCs w:val="21"/>
        </w:rPr>
      </w:pPr>
      <w:bookmarkStart w:id="26" w:name="_Toc14217"/>
      <w:r>
        <w:rPr>
          <w:rFonts w:hint="eastAsia" w:ascii="宋体" w:hAnsi="宋体" w:eastAsia="宋体"/>
          <w:color w:val="auto"/>
          <w:sz w:val="21"/>
          <w:szCs w:val="21"/>
        </w:rPr>
        <w:t>9.招标文件的澄清或修改</w:t>
      </w:r>
      <w:bookmarkEnd w:id="26"/>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color w:val="auto"/>
          <w:sz w:val="21"/>
          <w:szCs w:val="21"/>
        </w:rPr>
      </w:pPr>
      <w:r>
        <w:rPr>
          <w:rFonts w:hint="eastAsia" w:ascii="宋体" w:hAnsi="宋体" w:eastAsia="宋体"/>
          <w:color w:val="auto"/>
          <w:sz w:val="21"/>
          <w:szCs w:val="21"/>
        </w:rPr>
        <w:t>采购人或者采购代理机构可以对已发出的招标文件、资格预审文件、投标邀请书进行必要的澄清或者修改。澄清或者修改的内容为招标文件、资格预审文件、投标邀请书的组成部分，</w:t>
      </w:r>
      <w:r>
        <w:rPr>
          <w:rFonts w:ascii="宋体" w:hAnsi="宋体" w:eastAsia="宋体"/>
          <w:color w:val="auto"/>
          <w:sz w:val="21"/>
          <w:szCs w:val="21"/>
        </w:rPr>
        <w:t>具有约束作用</w:t>
      </w:r>
      <w:r>
        <w:rPr>
          <w:rFonts w:hint="eastAsia" w:ascii="宋体" w:hAnsi="宋体" w:eastAsia="宋体"/>
          <w:color w:val="auto"/>
          <w:sz w:val="21"/>
          <w:szCs w:val="21"/>
        </w:rPr>
        <w:t>。</w:t>
      </w:r>
      <w:r>
        <w:rPr>
          <w:rFonts w:ascii="宋体" w:hAnsi="宋体" w:eastAsia="宋体"/>
          <w:color w:val="auto"/>
          <w:sz w:val="21"/>
          <w:szCs w:val="21"/>
        </w:rPr>
        <w:t>当招标文件、招标文件的澄清</w:t>
      </w:r>
      <w:r>
        <w:rPr>
          <w:rFonts w:hint="eastAsia" w:ascii="宋体" w:hAnsi="宋体" w:eastAsia="宋体"/>
          <w:color w:val="auto"/>
          <w:sz w:val="21"/>
          <w:szCs w:val="21"/>
        </w:rPr>
        <w:t>或</w:t>
      </w:r>
      <w:r>
        <w:rPr>
          <w:rFonts w:ascii="宋体" w:hAnsi="宋体" w:eastAsia="宋体"/>
          <w:color w:val="auto"/>
          <w:sz w:val="21"/>
          <w:szCs w:val="21"/>
        </w:rPr>
        <w:t>修改等在同一内容的表述上不一致时，以最后发出的书面文件</w:t>
      </w:r>
      <w:r>
        <w:rPr>
          <w:rFonts w:hint="eastAsia" w:ascii="宋体" w:hAnsi="宋体" w:eastAsia="宋体"/>
          <w:color w:val="auto"/>
          <w:sz w:val="21"/>
          <w:szCs w:val="21"/>
        </w:rPr>
        <w:t>及公告</w:t>
      </w:r>
      <w:r>
        <w:rPr>
          <w:rFonts w:ascii="宋体" w:hAnsi="宋体" w:eastAsia="宋体"/>
          <w:color w:val="auto"/>
          <w:sz w:val="21"/>
          <w:szCs w:val="21"/>
        </w:rPr>
        <w:t>为准。</w:t>
      </w:r>
    </w:p>
    <w:p>
      <w:pPr>
        <w:keepNext w:val="0"/>
        <w:keepLines w:val="0"/>
        <w:pageBreakBefore w:val="0"/>
        <w:widowControl w:val="0"/>
        <w:numPr>
          <w:ilvl w:val="1"/>
          <w:numId w:val="2"/>
        </w:numPr>
        <w:kinsoku/>
        <w:wordWrap/>
        <w:overflowPunct/>
        <w:topLinePunct w:val="0"/>
        <w:autoSpaceDE/>
        <w:autoSpaceDN/>
        <w:bidi w:val="0"/>
        <w:adjustRightInd/>
        <w:snapToGrid/>
        <w:spacing w:after="0" w:line="360" w:lineRule="exact"/>
        <w:ind w:left="567" w:hanging="567"/>
        <w:jc w:val="both"/>
        <w:textAlignment w:val="auto"/>
        <w:rPr>
          <w:rFonts w:ascii="宋体" w:hAnsi="宋体" w:eastAsia="宋体"/>
          <w:b/>
          <w:bCs/>
          <w:color w:val="auto"/>
          <w:sz w:val="21"/>
          <w:szCs w:val="21"/>
        </w:rPr>
      </w:pPr>
      <w:r>
        <w:rPr>
          <w:rFonts w:hint="eastAsia" w:ascii="宋体" w:hAnsi="宋体" w:eastAsia="宋体"/>
          <w:b/>
          <w:bCs/>
          <w:color w:val="auto"/>
          <w:sz w:val="21"/>
          <w:szCs w:val="21"/>
        </w:rPr>
        <w:t>招标期间，投标人有义务上网查看，公告一经上网发布，即视为送达。因投标人未及时上网查看而造成的所有后果，由投标人自行承担。</w:t>
      </w:r>
    </w:p>
    <w:p>
      <w:pPr>
        <w:widowControl w:val="0"/>
        <w:adjustRightInd/>
        <w:snapToGrid/>
        <w:spacing w:after="0" w:line="360" w:lineRule="exact"/>
        <w:ind w:left="567"/>
        <w:jc w:val="both"/>
        <w:rPr>
          <w:rFonts w:ascii="宋体" w:hAnsi="宋体" w:eastAsia="宋体"/>
          <w:color w:val="auto"/>
          <w:sz w:val="21"/>
          <w:szCs w:val="21"/>
        </w:rPr>
      </w:pPr>
    </w:p>
    <w:p>
      <w:pPr>
        <w:pStyle w:val="3"/>
        <w:numPr>
          <w:ilvl w:val="0"/>
          <w:numId w:val="1"/>
        </w:numPr>
        <w:spacing w:before="0" w:after="0" w:line="480" w:lineRule="auto"/>
        <w:jc w:val="center"/>
        <w:rPr>
          <w:rFonts w:ascii="宋体" w:hAnsi="宋体" w:eastAsia="宋体"/>
          <w:color w:val="auto"/>
        </w:rPr>
      </w:pPr>
      <w:bookmarkStart w:id="27" w:name="_Toc23726"/>
      <w:r>
        <w:rPr>
          <w:rFonts w:hint="eastAsia" w:ascii="宋体" w:hAnsi="宋体" w:eastAsia="宋体"/>
          <w:color w:val="auto"/>
        </w:rPr>
        <w:t>投标文件的编制</w:t>
      </w:r>
      <w:bookmarkEnd w:id="27"/>
    </w:p>
    <w:p>
      <w:pPr>
        <w:pStyle w:val="4"/>
        <w:widowControl w:val="0"/>
        <w:overflowPunct w:val="0"/>
        <w:spacing w:before="0" w:after="0" w:line="240" w:lineRule="auto"/>
        <w:rPr>
          <w:rFonts w:ascii="宋体" w:hAnsi="宋体" w:eastAsia="宋体"/>
          <w:color w:val="auto"/>
          <w:sz w:val="21"/>
          <w:szCs w:val="21"/>
        </w:rPr>
      </w:pPr>
      <w:bookmarkStart w:id="28" w:name="_Toc20623"/>
      <w:r>
        <w:rPr>
          <w:rFonts w:hint="eastAsia" w:ascii="宋体" w:hAnsi="宋体" w:eastAsia="宋体"/>
          <w:color w:val="auto"/>
          <w:sz w:val="21"/>
          <w:szCs w:val="21"/>
        </w:rPr>
        <w:t>10.投标文件的语言及度量衡单位</w:t>
      </w:r>
      <w:bookmarkEnd w:id="28"/>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提交的投标文件以及投标人与采购代理机构就有关投标的所有来往函件均应使用简体中文书写。投标人提交的支持资料和已印刷的文献可以用另一种语言，但相应内容应附有中文翻译本（中文译本应由翻译机构盖章或者翻译人员签名确认，否则按无效处理），在解释投标文件的修改内容时以中文翻译本为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除非招标文件在技术规格中另有规定，投标人在投标文件中及其与采购代理机构和采购人所有往来文件中的所有</w:t>
      </w:r>
      <w:r>
        <w:rPr>
          <w:rFonts w:ascii="宋体" w:hAnsi="宋体" w:eastAsia="宋体"/>
          <w:color w:val="auto"/>
          <w:sz w:val="21"/>
          <w:szCs w:val="21"/>
        </w:rPr>
        <w:t>计量单位</w:t>
      </w:r>
      <w:r>
        <w:rPr>
          <w:rFonts w:hint="eastAsia" w:ascii="宋体" w:hAnsi="宋体" w:eastAsia="宋体"/>
          <w:color w:val="auto"/>
          <w:sz w:val="21"/>
          <w:szCs w:val="21"/>
        </w:rPr>
        <w:t>均应采用中华人民共和国法定计量单位</w:t>
      </w:r>
      <w:r>
        <w:rPr>
          <w:rFonts w:ascii="宋体" w:hAnsi="宋体" w:eastAsia="宋体"/>
          <w:color w:val="auto"/>
          <w:sz w:val="21"/>
          <w:szCs w:val="21"/>
        </w:rPr>
        <w:t>。</w:t>
      </w:r>
    </w:p>
    <w:p>
      <w:pPr>
        <w:widowControl w:val="0"/>
        <w:adjustRightInd/>
        <w:snapToGrid/>
        <w:spacing w:after="0" w:line="360" w:lineRule="exact"/>
        <w:ind w:left="567"/>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29" w:name="_Toc28866"/>
      <w:bookmarkStart w:id="30" w:name="_Toc382049103"/>
      <w:bookmarkStart w:id="31" w:name="_Toc303084256"/>
      <w:bookmarkStart w:id="32" w:name="_Toc12145"/>
      <w:bookmarkStart w:id="33" w:name="_Toc307934854"/>
      <w:r>
        <w:rPr>
          <w:rFonts w:hint="eastAsia" w:ascii="宋体" w:hAnsi="宋体" w:eastAsia="宋体"/>
          <w:color w:val="auto"/>
          <w:sz w:val="21"/>
          <w:szCs w:val="21"/>
        </w:rPr>
        <w:t>11.</w:t>
      </w:r>
      <w:r>
        <w:rPr>
          <w:rFonts w:ascii="宋体" w:hAnsi="宋体" w:eastAsia="宋体"/>
          <w:color w:val="auto"/>
          <w:sz w:val="21"/>
          <w:szCs w:val="21"/>
        </w:rPr>
        <w:t>投标文件的组成</w:t>
      </w:r>
      <w:bookmarkEnd w:id="29"/>
      <w:bookmarkEnd w:id="30"/>
      <w:bookmarkEnd w:id="31"/>
      <w:bookmarkEnd w:id="32"/>
      <w:bookmarkEnd w:id="33"/>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包括但不限于招标文件附件格式中要求提供的表格。</w:t>
      </w:r>
    </w:p>
    <w:p>
      <w:pPr>
        <w:widowControl w:val="0"/>
        <w:numPr>
          <w:ilvl w:val="1"/>
          <w:numId w:val="2"/>
        </w:numPr>
        <w:adjustRightInd/>
        <w:snapToGrid/>
        <w:spacing w:after="0" w:line="360" w:lineRule="exact"/>
        <w:jc w:val="both"/>
        <w:rPr>
          <w:color w:val="auto"/>
        </w:rPr>
      </w:pPr>
      <w:r>
        <w:rPr>
          <w:rFonts w:hint="eastAsia" w:ascii="宋体" w:hAnsi="宋体" w:eastAsia="宋体"/>
          <w:color w:val="auto"/>
          <w:sz w:val="21"/>
          <w:szCs w:val="21"/>
        </w:rPr>
        <w:t>上述文件须按顺序装订成册，并编制投标文件目录。除上述文件资料外投标人还须按投标人须知的要求制作“开标文件”。“开标文件”作为投标文件的一部分，但须单独密封。</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34" w:name="_Toc30189"/>
      <w:r>
        <w:rPr>
          <w:rFonts w:hint="eastAsia" w:ascii="宋体" w:hAnsi="宋体" w:eastAsia="宋体"/>
          <w:color w:val="auto"/>
          <w:sz w:val="21"/>
          <w:szCs w:val="21"/>
        </w:rPr>
        <w:t>12.投标文件编制</w:t>
      </w:r>
      <w:bookmarkEnd w:id="34"/>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35" w:name="_Toc303084258"/>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投标人应按招标文件的规定以及附件要求的内容和格式完整地填写</w:t>
      </w:r>
      <w:r>
        <w:rPr>
          <w:rFonts w:ascii="宋体" w:hAnsi="宋体" w:eastAsia="宋体"/>
          <w:color w:val="auto"/>
          <w:sz w:val="21"/>
          <w:szCs w:val="21"/>
        </w:rPr>
        <w:t>（表格可以按同样格式扩展）</w:t>
      </w:r>
      <w:r>
        <w:rPr>
          <w:rFonts w:hint="eastAsia" w:ascii="宋体" w:hAnsi="宋体" w:eastAsia="宋体"/>
          <w:color w:val="auto"/>
          <w:sz w:val="21"/>
          <w:szCs w:val="21"/>
        </w:rPr>
        <w:t>和提供资料，投标人必须对投标文件所提供的全部材料的真实性承担法律责任，并无条件接受采购人或采购代理机构及政府采购监督管理部门等对其中任何资料进行核实的要求。</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因投标文件编制存在歧义对投标人产生负面影响的，投标人自行承担后果。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投标单位名称与投标人公章不一致，若投标单位名称已进行变更，应在投标文件中提供相应的证明材料并加盖公章，否则投标文件无效。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投标文件密封、标记及内容与本项目采购信息不符，导致无法分辨所投项目为本项目的，投标文件无效。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投标人须客观撰写投标人简介（格式自理，并提供相关证明）以及所投的产品或服务说明。</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投标文件若出现以下内容，经评标委员会认定有可能间接影响评审秩序，</w:t>
      </w:r>
      <w:r>
        <w:rPr>
          <w:rFonts w:hint="eastAsia" w:ascii="宋体" w:hAnsi="宋体" w:eastAsia="宋体"/>
          <w:color w:val="auto"/>
          <w:sz w:val="21"/>
          <w:szCs w:val="21"/>
          <w:lang w:eastAsia="zh-CN"/>
        </w:rPr>
        <w:t>其投标无效：</w:t>
      </w:r>
    </w:p>
    <w:p>
      <w:pPr>
        <w:pStyle w:val="24"/>
        <w:widowControl w:val="0"/>
        <w:numPr>
          <w:ilvl w:val="0"/>
          <w:numId w:val="0"/>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w:t>
      </w:r>
      <w:r>
        <w:rPr>
          <w:rFonts w:hint="eastAsia" w:ascii="宋体" w:hAnsi="宋体" w:eastAsia="宋体"/>
          <w:color w:val="auto"/>
          <w:sz w:val="21"/>
          <w:szCs w:val="21"/>
        </w:rPr>
        <w:t>投标文件内出现无官方证明文件的行业地域排名或</w:t>
      </w:r>
      <w:r>
        <w:rPr>
          <w:rFonts w:ascii="宋体" w:hAnsi="宋体" w:eastAsia="宋体"/>
          <w:color w:val="auto"/>
          <w:sz w:val="21"/>
          <w:szCs w:val="21"/>
        </w:rPr>
        <w:t>使用“国家级”、“最高级”、“最佳”等用语</w:t>
      </w:r>
      <w:r>
        <w:rPr>
          <w:rFonts w:hint="eastAsia" w:ascii="宋体" w:hAnsi="宋体" w:eastAsia="宋体"/>
          <w:color w:val="auto"/>
          <w:sz w:val="21"/>
          <w:szCs w:val="21"/>
        </w:rPr>
        <w:t>字眼的。</w:t>
      </w:r>
    </w:p>
    <w:p>
      <w:pPr>
        <w:pStyle w:val="24"/>
        <w:widowControl w:val="0"/>
        <w:numPr>
          <w:ilvl w:val="0"/>
          <w:numId w:val="0"/>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lang w:eastAsia="zh-CN"/>
        </w:rPr>
        <w:t>）</w:t>
      </w:r>
      <w:r>
        <w:rPr>
          <w:rFonts w:hint="eastAsia" w:ascii="宋体" w:hAnsi="宋体" w:eastAsia="宋体"/>
          <w:color w:val="auto"/>
          <w:sz w:val="21"/>
          <w:szCs w:val="21"/>
        </w:rPr>
        <w:t>投标文件内出现恶意诋毁、</w:t>
      </w:r>
      <w:r>
        <w:rPr>
          <w:rFonts w:ascii="宋体" w:hAnsi="宋体" w:eastAsia="宋体"/>
          <w:color w:val="auto"/>
          <w:sz w:val="21"/>
          <w:szCs w:val="21"/>
        </w:rPr>
        <w:t>贬低其他生产经营者的商品或者服务</w:t>
      </w:r>
      <w:r>
        <w:rPr>
          <w:rFonts w:hint="eastAsia" w:ascii="宋体" w:hAnsi="宋体" w:eastAsia="宋体"/>
          <w:color w:val="auto"/>
          <w:sz w:val="21"/>
          <w:szCs w:val="21"/>
        </w:rPr>
        <w:t>的内容。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有下列情形之一的，视为投标人串通投标，其投标无效：</w:t>
      </w:r>
    </w:p>
    <w:bookmarkEnd w:id="35"/>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（一）不同投标人的投标文件由同一单位或者个人编制；</w:t>
      </w:r>
    </w:p>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（二）不同投标人委托同一单位或者个人办理投标事宜；</w:t>
      </w:r>
    </w:p>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（三）不同投标人的投标文件载明的项目管理成员或者联系人员为同一人；</w:t>
      </w:r>
    </w:p>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（四）不同投标人的投标文件异常一致或者投标报价呈规律性差异；</w:t>
      </w:r>
    </w:p>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（五）不同投标人的投标文件相互混装；</w:t>
      </w:r>
    </w:p>
    <w:p>
      <w:pPr>
        <w:widowControl w:val="0"/>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（六）不同投标人的投标保证金从同一单位或者个人的账户转出。</w:t>
      </w:r>
    </w:p>
    <w:p>
      <w:pPr>
        <w:widowControl w:val="0"/>
        <w:adjustRightInd/>
        <w:snapToGrid/>
        <w:spacing w:after="0" w:line="360" w:lineRule="exact"/>
        <w:jc w:val="both"/>
        <w:rPr>
          <w:rFonts w:hint="eastAsia"/>
          <w:color w:val="auto"/>
        </w:rPr>
      </w:pPr>
    </w:p>
    <w:p>
      <w:pPr>
        <w:pStyle w:val="4"/>
        <w:widowControl w:val="0"/>
        <w:overflowPunct w:val="0"/>
        <w:spacing w:before="0" w:after="0" w:line="240" w:lineRule="auto"/>
        <w:rPr>
          <w:rFonts w:ascii="宋体" w:hAnsi="宋体" w:eastAsia="宋体"/>
          <w:color w:val="auto"/>
          <w:sz w:val="21"/>
          <w:szCs w:val="21"/>
        </w:rPr>
      </w:pPr>
      <w:bookmarkStart w:id="36" w:name="_Toc259"/>
      <w:r>
        <w:rPr>
          <w:rFonts w:hint="eastAsia" w:ascii="宋体" w:hAnsi="宋体" w:eastAsia="宋体"/>
          <w:color w:val="auto"/>
          <w:sz w:val="21"/>
          <w:szCs w:val="21"/>
        </w:rPr>
        <w:t>13.投标报价说明</w:t>
      </w:r>
      <w:bookmarkEnd w:id="36"/>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本次招标，投标人应按用户需求中的要求进行投标报价，少报无效。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投标人所提供的货物或服务均以人民币（或相关费率）报价。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投标报价应包含完成本次招标所有服务内容的费用，包含各种税务费及合同实施过程中的全部费用和售后服务费等。</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中标后开出的所有发票必须与中标人的名称一致。</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37" w:name="_Toc27724"/>
      <w:r>
        <w:rPr>
          <w:rFonts w:hint="eastAsia" w:ascii="宋体" w:hAnsi="宋体" w:eastAsia="宋体"/>
          <w:color w:val="auto"/>
          <w:sz w:val="21"/>
          <w:szCs w:val="21"/>
        </w:rPr>
        <w:t>14.投标人所提供的服务或货物的证明文件</w:t>
      </w:r>
      <w:bookmarkEnd w:id="37"/>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bookmarkStart w:id="38" w:name="_Hlt107925668"/>
      <w:bookmarkEnd w:id="38"/>
      <w:bookmarkStart w:id="39" w:name="_Hlt107925638"/>
      <w:bookmarkEnd w:id="39"/>
      <w:r>
        <w:rPr>
          <w:rFonts w:hint="eastAsia" w:ascii="宋体" w:hAnsi="宋体" w:eastAsia="宋体"/>
          <w:color w:val="auto"/>
          <w:sz w:val="21"/>
          <w:szCs w:val="21"/>
        </w:rPr>
        <w:t>证明服务或货物的文件，它可以是文字资料、图纸和数据包括但不限于：服务主要内容、标准、质量、人员资质、计划安排、报告审核等的详细说明；对招标文件第三部分《用户需求书》中规定的要求进行详细应答和说明。</w:t>
      </w:r>
    </w:p>
    <w:p>
      <w:pPr>
        <w:pStyle w:val="24"/>
        <w:widowControl w:val="0"/>
        <w:adjustRightInd/>
        <w:snapToGrid/>
        <w:spacing w:after="0" w:line="360" w:lineRule="exact"/>
        <w:ind w:left="425" w:firstLine="0" w:firstLineChars="0"/>
        <w:jc w:val="both"/>
        <w:rPr>
          <w:color w:val="auto"/>
        </w:rPr>
      </w:pPr>
    </w:p>
    <w:p>
      <w:pPr>
        <w:pStyle w:val="4"/>
        <w:widowControl w:val="0"/>
        <w:overflowPunct w:val="0"/>
        <w:spacing w:before="0" w:after="0" w:line="240" w:lineRule="auto"/>
        <w:rPr>
          <w:rFonts w:ascii="宋体" w:hAnsi="宋体" w:eastAsia="宋体"/>
          <w:color w:val="auto"/>
          <w:sz w:val="21"/>
          <w:szCs w:val="21"/>
        </w:rPr>
      </w:pPr>
      <w:bookmarkStart w:id="40" w:name="_Toc19520"/>
      <w:r>
        <w:rPr>
          <w:rFonts w:hint="eastAsia" w:ascii="宋体" w:hAnsi="宋体" w:eastAsia="宋体"/>
          <w:color w:val="auto"/>
          <w:sz w:val="21"/>
          <w:szCs w:val="21"/>
        </w:rPr>
        <w:t>15.★投标有效期</w:t>
      </w:r>
      <w:bookmarkEnd w:id="40"/>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投标文件应根据投标人须知的规定在投标截止日后的90天内保持有效。</w:t>
      </w:r>
    </w:p>
    <w:p>
      <w:pPr>
        <w:widowControl w:val="0"/>
        <w:adjustRightInd/>
        <w:snapToGrid/>
        <w:spacing w:after="0" w:line="360" w:lineRule="exact"/>
        <w:ind w:left="567"/>
        <w:jc w:val="both"/>
        <w:rPr>
          <w:color w:val="auto"/>
        </w:rPr>
      </w:pPr>
    </w:p>
    <w:p>
      <w:pPr>
        <w:pStyle w:val="4"/>
        <w:widowControl w:val="0"/>
        <w:overflowPunct w:val="0"/>
        <w:spacing w:before="0" w:after="0" w:line="240" w:lineRule="auto"/>
        <w:rPr>
          <w:rFonts w:ascii="宋体" w:hAnsi="宋体" w:eastAsia="宋体"/>
          <w:color w:val="auto"/>
          <w:sz w:val="21"/>
          <w:szCs w:val="21"/>
        </w:rPr>
      </w:pPr>
      <w:bookmarkStart w:id="41" w:name="_Toc12456"/>
      <w:r>
        <w:rPr>
          <w:rFonts w:hint="eastAsia" w:ascii="宋体" w:hAnsi="宋体" w:eastAsia="宋体"/>
          <w:color w:val="auto"/>
          <w:sz w:val="21"/>
          <w:szCs w:val="21"/>
        </w:rPr>
        <w:t>16.★投标保证金</w:t>
      </w:r>
      <w:bookmarkEnd w:id="41"/>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bookmarkStart w:id="42" w:name="_Ref179619405"/>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投标人应按投标资料表中规定数额及法律规定的时间按相应包号保证金金额要求一次性提交投标保证金，以多次汇入达到招标文件要求金额的投标保证金无效。</w:t>
      </w:r>
      <w:bookmarkEnd w:id="42"/>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投标保证金金额与招标文件要求金额保持一致（详见投标资料表）。</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投标保证金有效期与投标有效期保持一致。</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投标人应一次性缴交招标文件规定数额的投标保证金，投标人与交款人名称必须一致，非投标人缴纳的投标保证金无效。</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采用银行转账、电汇方式提交的,付至采购代理机构指定账户上。 (详见投标人资料表)</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担保。是指由担保机构为供应商交纳投标保证金向采购人或者采购代理机构提供的保证担保。供应商在投标有效期内撤回投标文件或中标后不签订政府采购合同的，由担保机构按照担保函的约定履行支付投标保证金的责任。（投标担保格式详见附件《政府采购投标担保函》）</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采用《政府采购投标担保函》提交的，应符合下列规定：</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①投标担保函有效期应与投标有效期一致；</w:t>
      </w:r>
    </w:p>
    <w:p>
      <w:pPr>
        <w:spacing w:after="0"/>
        <w:ind w:firstLine="422" w:firstLineChars="200"/>
        <w:rPr>
          <w:rFonts w:ascii="宋体" w:hAnsi="宋体" w:eastAsia="宋体"/>
          <w:b/>
          <w:color w:val="auto"/>
          <w:sz w:val="21"/>
          <w:szCs w:val="21"/>
        </w:rPr>
      </w:pPr>
      <w:r>
        <w:rPr>
          <w:rFonts w:hint="eastAsia" w:ascii="宋体" w:hAnsi="宋体" w:eastAsia="宋体"/>
          <w:b/>
          <w:color w:val="auto"/>
          <w:sz w:val="21"/>
          <w:szCs w:val="21"/>
        </w:rPr>
        <w:t>②投标担保金额应与本项目的投标保证金一致；</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保证金不接受现金方式（包括以存现方式）提交，未按要求提交投标保证金的将导致废标。</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未中标的投标人的保证金在采购结果公示发出后5个工作日内退还，中标投标人的保证金在采购合同签订后5个工作日内退还。</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为方便退还未中标的投保人的保证金，投标人应制作《投标保证金汇入情况说明》随开标文件一并递交。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有下列情形之一的，投标保证金将不予退还：</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（1）投标人在提交响应文件截止时间后撤回响应文件的；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（2）投标人在响应文件中提供虚假材料的；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（3）除因不可抗力或谈判文件、询价通知书认可的情形以外，中标单位不与采购人签订合同的；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（4）投标人与采购人、其他供应商或者采购代理机构恶意串通的；</w:t>
      </w:r>
    </w:p>
    <w:p>
      <w:pPr>
        <w:widowControl w:val="0"/>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（5）招标文件规定的其他情形。</w:t>
      </w:r>
      <w:r>
        <w:rPr>
          <w:rFonts w:ascii="宋体" w:hAnsi="宋体" w:eastAsia="宋体"/>
          <w:color w:val="auto"/>
          <w:sz w:val="21"/>
          <w:szCs w:val="21"/>
        </w:rPr>
        <w:t xml:space="preserve"> </w:t>
      </w:r>
    </w:p>
    <w:p>
      <w:pPr>
        <w:rPr>
          <w:color w:val="auto"/>
        </w:rPr>
      </w:pPr>
    </w:p>
    <w:p>
      <w:pPr>
        <w:pStyle w:val="3"/>
        <w:numPr>
          <w:ilvl w:val="0"/>
          <w:numId w:val="1"/>
        </w:numPr>
        <w:spacing w:before="0" w:after="0" w:line="480" w:lineRule="auto"/>
        <w:jc w:val="center"/>
        <w:rPr>
          <w:rFonts w:ascii="宋体" w:hAnsi="宋体" w:eastAsia="宋体"/>
          <w:color w:val="auto"/>
        </w:rPr>
      </w:pPr>
      <w:bookmarkStart w:id="43" w:name="_Toc31124"/>
      <w:r>
        <w:rPr>
          <w:rFonts w:hint="eastAsia" w:ascii="宋体" w:hAnsi="宋体" w:eastAsia="宋体"/>
          <w:color w:val="auto"/>
        </w:rPr>
        <w:t>投标文件的递交</w:t>
      </w:r>
      <w:bookmarkEnd w:id="43"/>
    </w:p>
    <w:p>
      <w:pPr>
        <w:pStyle w:val="4"/>
        <w:widowControl w:val="0"/>
        <w:overflowPunct w:val="0"/>
        <w:spacing w:before="0" w:after="0" w:line="240" w:lineRule="auto"/>
        <w:rPr>
          <w:rFonts w:ascii="宋体" w:hAnsi="宋体" w:eastAsia="宋体"/>
          <w:color w:val="auto"/>
          <w:sz w:val="21"/>
          <w:szCs w:val="21"/>
        </w:rPr>
      </w:pPr>
      <w:bookmarkStart w:id="44" w:name="_Toc29590"/>
      <w:bookmarkStart w:id="45" w:name="_Toc382049111"/>
      <w:bookmarkStart w:id="46" w:name="_Toc303084264"/>
      <w:bookmarkStart w:id="47" w:name="_Toc24997"/>
      <w:r>
        <w:rPr>
          <w:rFonts w:hint="eastAsia" w:ascii="宋体" w:hAnsi="宋体" w:eastAsia="宋体"/>
          <w:color w:val="auto"/>
          <w:sz w:val="21"/>
          <w:szCs w:val="21"/>
        </w:rPr>
        <w:t>17.</w:t>
      </w:r>
      <w:r>
        <w:rPr>
          <w:rFonts w:ascii="宋体" w:hAnsi="宋体" w:eastAsia="宋体"/>
          <w:color w:val="auto"/>
          <w:sz w:val="21"/>
          <w:szCs w:val="21"/>
        </w:rPr>
        <w:t>投标文件的</w:t>
      </w:r>
      <w:r>
        <w:rPr>
          <w:rFonts w:hint="eastAsia" w:ascii="宋体" w:hAnsi="宋体" w:eastAsia="宋体"/>
          <w:color w:val="auto"/>
          <w:sz w:val="21"/>
          <w:szCs w:val="21"/>
        </w:rPr>
        <w:t>装订，签署，</w:t>
      </w:r>
      <w:r>
        <w:rPr>
          <w:rFonts w:ascii="宋体" w:hAnsi="宋体" w:eastAsia="宋体"/>
          <w:color w:val="auto"/>
          <w:sz w:val="21"/>
          <w:szCs w:val="21"/>
        </w:rPr>
        <w:t>密封和标记</w:t>
      </w:r>
      <w:bookmarkEnd w:id="44"/>
      <w:bookmarkEnd w:id="45"/>
      <w:bookmarkEnd w:id="46"/>
      <w:bookmarkEnd w:id="47"/>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为方便评标委员会对投标文件进行评审</w:t>
      </w:r>
      <w:r>
        <w:rPr>
          <w:rFonts w:ascii="宋体" w:hAnsi="宋体" w:eastAsia="宋体"/>
          <w:color w:val="auto"/>
          <w:sz w:val="21"/>
          <w:szCs w:val="21"/>
        </w:rPr>
        <w:t>，</w:t>
      </w:r>
      <w:r>
        <w:rPr>
          <w:rFonts w:hint="eastAsia" w:ascii="宋体" w:hAnsi="宋体" w:eastAsia="宋体"/>
          <w:color w:val="auto"/>
          <w:sz w:val="21"/>
          <w:szCs w:val="21"/>
          <w:lang w:eastAsia="zh-CN"/>
        </w:rPr>
        <w:t>建议投标人对投标文件进行装订，</w:t>
      </w:r>
      <w:r>
        <w:rPr>
          <w:rFonts w:ascii="宋体" w:hAnsi="宋体" w:eastAsia="宋体"/>
          <w:color w:val="auto"/>
          <w:sz w:val="21"/>
          <w:szCs w:val="21"/>
        </w:rPr>
        <w:t>对未经装订的投标文件可能发生的文件缺</w:t>
      </w:r>
      <w:r>
        <w:rPr>
          <w:rFonts w:hint="eastAsia" w:ascii="宋体" w:hAnsi="宋体" w:eastAsia="宋体"/>
          <w:color w:val="auto"/>
          <w:sz w:val="21"/>
          <w:szCs w:val="21"/>
        </w:rPr>
        <w:t>损</w:t>
      </w:r>
      <w:r>
        <w:rPr>
          <w:rFonts w:ascii="宋体" w:hAnsi="宋体" w:eastAsia="宋体"/>
          <w:color w:val="auto"/>
          <w:sz w:val="21"/>
          <w:szCs w:val="21"/>
        </w:rPr>
        <w:t>，由此产生的后果由投标人承担。</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投标文件</w:t>
      </w:r>
      <w:r>
        <w:rPr>
          <w:rFonts w:hint="eastAsia" w:ascii="宋体" w:hAnsi="宋体" w:eastAsia="宋体"/>
          <w:color w:val="auto"/>
          <w:sz w:val="21"/>
          <w:szCs w:val="21"/>
        </w:rPr>
        <w:t>正本均须用不褪色墨水书写或打印。投标文件的副本可采用投标文件的正本复印件，每套</w:t>
      </w:r>
      <w:r>
        <w:rPr>
          <w:rFonts w:ascii="宋体" w:hAnsi="宋体" w:eastAsia="宋体"/>
          <w:color w:val="auto"/>
          <w:sz w:val="21"/>
          <w:szCs w:val="21"/>
        </w:rPr>
        <w:t>投标文件</w:t>
      </w:r>
      <w:r>
        <w:rPr>
          <w:rFonts w:hint="eastAsia" w:ascii="宋体" w:hAnsi="宋体" w:eastAsia="宋体"/>
          <w:color w:val="auto"/>
          <w:sz w:val="21"/>
          <w:szCs w:val="21"/>
        </w:rPr>
        <w:t>应当标</w:t>
      </w:r>
      <w:r>
        <w:rPr>
          <w:rFonts w:ascii="宋体" w:hAnsi="宋体" w:eastAsia="宋体"/>
          <w:color w:val="auto"/>
          <w:sz w:val="21"/>
          <w:szCs w:val="21"/>
        </w:rPr>
        <w:t>明“正本”</w:t>
      </w:r>
      <w:r>
        <w:rPr>
          <w:rFonts w:hint="eastAsia" w:ascii="宋体" w:hAnsi="宋体" w:eastAsia="宋体"/>
          <w:color w:val="auto"/>
          <w:sz w:val="21"/>
          <w:szCs w:val="21"/>
        </w:rPr>
        <w:t>、</w:t>
      </w:r>
      <w:r>
        <w:rPr>
          <w:rFonts w:ascii="宋体" w:hAnsi="宋体" w:eastAsia="宋体"/>
          <w:color w:val="auto"/>
          <w:sz w:val="21"/>
          <w:szCs w:val="21"/>
        </w:rPr>
        <w:t>“副本”</w:t>
      </w:r>
      <w:r>
        <w:rPr>
          <w:rFonts w:hint="eastAsia" w:ascii="宋体" w:hAnsi="宋体" w:eastAsia="宋体"/>
          <w:color w:val="auto"/>
          <w:sz w:val="21"/>
          <w:szCs w:val="21"/>
        </w:rPr>
        <w:t>的字样</w:t>
      </w:r>
      <w:r>
        <w:rPr>
          <w:rFonts w:ascii="宋体" w:hAnsi="宋体" w:eastAsia="宋体"/>
          <w:color w:val="auto"/>
          <w:sz w:val="21"/>
          <w:szCs w:val="21"/>
        </w:rPr>
        <w:t>。</w:t>
      </w:r>
      <w:r>
        <w:rPr>
          <w:rFonts w:hint="eastAsia" w:ascii="宋体" w:hAnsi="宋体" w:eastAsia="宋体"/>
          <w:color w:val="auto"/>
          <w:sz w:val="21"/>
          <w:szCs w:val="21"/>
        </w:rPr>
        <w:t>投标文件的【正本】及所有【副本】的封面及骑缝均须加盖投标人公章（文件每页盖章等同于盖骑缝章）。若</w:t>
      </w:r>
      <w:r>
        <w:rPr>
          <w:rFonts w:ascii="宋体" w:hAnsi="宋体" w:eastAsia="宋体"/>
          <w:color w:val="auto"/>
          <w:sz w:val="21"/>
          <w:szCs w:val="21"/>
        </w:rPr>
        <w:t>正本</w:t>
      </w:r>
      <w:r>
        <w:rPr>
          <w:rFonts w:hint="eastAsia" w:ascii="宋体" w:hAnsi="宋体" w:eastAsia="宋体"/>
          <w:color w:val="auto"/>
          <w:sz w:val="21"/>
          <w:szCs w:val="21"/>
        </w:rPr>
        <w:t>与</w:t>
      </w:r>
      <w:r>
        <w:rPr>
          <w:rFonts w:ascii="宋体" w:hAnsi="宋体" w:eastAsia="宋体"/>
          <w:color w:val="auto"/>
          <w:sz w:val="21"/>
          <w:szCs w:val="21"/>
        </w:rPr>
        <w:t>副本</w:t>
      </w:r>
      <w:r>
        <w:rPr>
          <w:rFonts w:hint="eastAsia" w:ascii="宋体" w:hAnsi="宋体" w:eastAsia="宋体"/>
          <w:color w:val="auto"/>
          <w:sz w:val="21"/>
          <w:szCs w:val="21"/>
        </w:rPr>
        <w:t>不符，以</w:t>
      </w:r>
      <w:r>
        <w:rPr>
          <w:rFonts w:ascii="宋体" w:hAnsi="宋体" w:eastAsia="宋体"/>
          <w:color w:val="auto"/>
          <w:sz w:val="21"/>
          <w:szCs w:val="21"/>
        </w:rPr>
        <w:t>正本为准。</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联合体投标文件的【正本】及【副本】的封面及骑缝均须加盖所有联合体组成成员的公章。（文件每页盖章等同于盖骑缝章）</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建议</w:t>
      </w:r>
      <w:r>
        <w:rPr>
          <w:rFonts w:hint="eastAsia" w:ascii="宋体" w:hAnsi="宋体" w:eastAsia="宋体"/>
          <w:color w:val="auto"/>
          <w:sz w:val="21"/>
          <w:szCs w:val="21"/>
        </w:rPr>
        <w:t>投标人将投标文件正本和所有的副本分开密封装在单独的信封中，且在信封上标明“正本”“副本”字样。然后再将所有信封封装在一个外层信封中。电子文件与正本密封包装，随正本提交。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电子文件内容包括：由投标人自行制作的与正本文件一致的所有文件。电子文件</w:t>
      </w:r>
      <w:r>
        <w:rPr>
          <w:rFonts w:hint="eastAsia" w:ascii="宋体" w:hAnsi="宋体" w:eastAsia="宋体"/>
          <w:color w:val="auto"/>
          <w:sz w:val="21"/>
          <w:szCs w:val="21"/>
        </w:rPr>
        <w:t>由</w:t>
      </w:r>
      <w:r>
        <w:rPr>
          <w:rFonts w:ascii="宋体" w:hAnsi="宋体" w:eastAsia="宋体"/>
          <w:color w:val="auto"/>
          <w:sz w:val="21"/>
          <w:szCs w:val="21"/>
        </w:rPr>
        <w:t>光盘</w:t>
      </w:r>
      <w:r>
        <w:rPr>
          <w:rFonts w:hint="eastAsia" w:ascii="宋体" w:hAnsi="宋体" w:eastAsia="宋体"/>
          <w:color w:val="auto"/>
          <w:sz w:val="21"/>
          <w:szCs w:val="21"/>
        </w:rPr>
        <w:t>或U盘</w:t>
      </w:r>
      <w:r>
        <w:rPr>
          <w:rFonts w:ascii="宋体" w:hAnsi="宋体" w:eastAsia="宋体"/>
          <w:color w:val="auto"/>
          <w:sz w:val="21"/>
          <w:szCs w:val="21"/>
        </w:rPr>
        <w:t>储存</w:t>
      </w:r>
      <w:r>
        <w:rPr>
          <w:rFonts w:hint="eastAsia" w:ascii="宋体" w:hAnsi="宋体" w:eastAsia="宋体"/>
          <w:color w:val="auto"/>
          <w:sz w:val="21"/>
          <w:szCs w:val="21"/>
        </w:rPr>
        <w:t>，并注明投标人名称及项目名称、采购项目编号，随投标文件一同密封提交。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除投标人对错误处修改外，全套投标文件应无涂改或行间插字和增删。如有修改，修改处</w:t>
      </w:r>
      <w:r>
        <w:rPr>
          <w:rFonts w:hint="eastAsia" w:ascii="宋体" w:hAnsi="宋体" w:eastAsia="宋体"/>
          <w:color w:val="auto"/>
          <w:sz w:val="21"/>
          <w:szCs w:val="21"/>
        </w:rPr>
        <w:t>须由法定代表人或其正式授权代表在旁边签字及盖章</w:t>
      </w:r>
      <w:r>
        <w:rPr>
          <w:rFonts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开标唱标，投标人应将开标一览表和授权委托书单独密封提交，并在信封上标明“开标文件”字样。开标文件内还须包括并不限于：投标保证金支付凭证银行汇款底单（复印件加盖公章，原件随身携带，以备查核）和投标保证金汇入情况说明（加盖公章）。投标人的法定代表人参加投标时，须开具法定代表人证明书，按上述要求与开标一览表一并密封提交。“开标文件”份数及签章等要求与投标文件正本相同（1份）。</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 xml:space="preserve">所有的信封均应注明： </w:t>
      </w:r>
    </w:p>
    <w:p>
      <w:pPr>
        <w:widowControl w:val="0"/>
        <w:numPr>
          <w:ilvl w:val="0"/>
          <w:numId w:val="3"/>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收件人：三方诚信招标有限公司东莞分公司</w:t>
      </w:r>
    </w:p>
    <w:p>
      <w:pPr>
        <w:widowControl w:val="0"/>
        <w:numPr>
          <w:ilvl w:val="0"/>
          <w:numId w:val="3"/>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投标单位名称：</w:t>
      </w:r>
    </w:p>
    <w:p>
      <w:pPr>
        <w:widowControl w:val="0"/>
        <w:numPr>
          <w:ilvl w:val="0"/>
          <w:numId w:val="3"/>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项目名称：</w:t>
      </w:r>
    </w:p>
    <w:p>
      <w:pPr>
        <w:widowControl w:val="0"/>
        <w:numPr>
          <w:ilvl w:val="0"/>
          <w:numId w:val="3"/>
        </w:numPr>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采购项目编号：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采购代理机构将拒绝接收出现以下情况的投标文件：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采用透明包装进行密封或未进行密封的投标文件；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密封破损导致投标文件内容直接或间接泄露的投标文件；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密封信封上项目编号错误的投标文件；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项目名称出现严重歧义或未标注所投项目信息导致无法分辨所投项目为本项目的投标文件；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采用传真、电传的投标文件；</w:t>
      </w:r>
    </w:p>
    <w:p>
      <w:pPr>
        <w:widowControl w:val="0"/>
        <w:numPr>
          <w:ilvl w:val="0"/>
          <w:numId w:val="4"/>
        </w:numPr>
        <w:adjustRightInd/>
        <w:snapToGrid/>
        <w:spacing w:after="0" w:line="360" w:lineRule="exact"/>
        <w:jc w:val="both"/>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招标文件规定的其他情形。</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采购代理机构对所有投标文件的误投或提前启封概不负责。</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投标人同时参加几个包投标时必须按招标文件要求按包号分别制作投标文件，分别密封递交。</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递交的投标文件中所提供的通讯方式应保持联络畅通，因联系不上而导致的所有后果由投标人自行承担。</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48" w:name="_Toc8628"/>
      <w:r>
        <w:rPr>
          <w:rFonts w:hint="eastAsia" w:ascii="宋体" w:hAnsi="宋体" w:eastAsia="宋体"/>
          <w:color w:val="auto"/>
          <w:sz w:val="21"/>
          <w:szCs w:val="21"/>
        </w:rPr>
        <w:t>18.迟交的投标文件</w:t>
      </w:r>
      <w:bookmarkEnd w:id="48"/>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投标人在投标截止时间之后提交的投标文件，采购代理机构将拒绝接收</w:t>
      </w:r>
      <w:r>
        <w:rPr>
          <w:rFonts w:ascii="宋体" w:hAnsi="宋体" w:eastAsia="宋体"/>
          <w:color w:val="auto"/>
          <w:sz w:val="21"/>
          <w:szCs w:val="21"/>
        </w:rPr>
        <w:t>。</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有违反其他法律规定情形的，采购代理机构将拒绝接收。</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49" w:name="_Toc13212"/>
      <w:r>
        <w:rPr>
          <w:rFonts w:hint="eastAsia" w:ascii="宋体" w:hAnsi="宋体" w:eastAsia="宋体"/>
          <w:color w:val="auto"/>
          <w:sz w:val="21"/>
          <w:szCs w:val="21"/>
        </w:rPr>
        <w:t>19.投标样品（如需提交）</w:t>
      </w:r>
      <w:bookmarkEnd w:id="49"/>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如有必要，采购代理机构可以要求投标人提供本服务项目涉及的部分设备或产品样品，投标人在投标时应提交《样品清单》。</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为方便评标，投标人在提供样品时，应在所提供的样品表面显著位置标注投标人的名称、包号、样品名称、招标文件规定的服务或货物编号。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样品作为投标文件的一部分，除非另有说明，中标单位的样品将作为履约验收标准的参考不再退还，未中标单位须在中标公告发布后五个工作日内，前往采购代理机构领取投标样品，逾期不领，采购代理机构将不承担样品的保管责任，由此引发的样品丢失、毁损，采购代理机构不予负责。</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50" w:name="_Toc382049112"/>
      <w:bookmarkStart w:id="51" w:name="_Toc5900"/>
      <w:bookmarkStart w:id="52" w:name="_Toc303084265"/>
      <w:bookmarkStart w:id="53" w:name="_Toc9777"/>
      <w:r>
        <w:rPr>
          <w:rFonts w:hint="eastAsia" w:ascii="宋体" w:hAnsi="宋体" w:eastAsia="宋体"/>
          <w:color w:val="auto"/>
          <w:sz w:val="21"/>
          <w:szCs w:val="21"/>
        </w:rPr>
        <w:t>20.投标截止期</w:t>
      </w:r>
      <w:bookmarkEnd w:id="50"/>
      <w:bookmarkEnd w:id="51"/>
      <w:bookmarkEnd w:id="52"/>
      <w:bookmarkEnd w:id="53"/>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投标人应在招标文件规定的截止日期和时间内，将投标文件送达到指定地点。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w:t>
      </w:r>
      <w:r>
        <w:rPr>
          <w:rFonts w:ascii="宋体" w:hAnsi="宋体" w:eastAsia="宋体"/>
          <w:color w:val="auto"/>
          <w:sz w:val="21"/>
          <w:szCs w:val="21"/>
        </w:rPr>
        <w:t>可按本须知规定以</w:t>
      </w:r>
      <w:r>
        <w:rPr>
          <w:rFonts w:hint="eastAsia" w:ascii="宋体" w:hAnsi="宋体" w:eastAsia="宋体"/>
          <w:color w:val="auto"/>
          <w:sz w:val="21"/>
          <w:szCs w:val="21"/>
        </w:rPr>
        <w:t>澄清或</w:t>
      </w:r>
      <w:r>
        <w:rPr>
          <w:rFonts w:ascii="宋体" w:hAnsi="宋体" w:eastAsia="宋体"/>
          <w:color w:val="auto"/>
          <w:sz w:val="21"/>
          <w:szCs w:val="21"/>
        </w:rPr>
        <w:t>修改通知的方式，酌情延长</w:t>
      </w:r>
      <w:r>
        <w:rPr>
          <w:rFonts w:hint="eastAsia" w:ascii="宋体" w:hAnsi="宋体" w:eastAsia="宋体"/>
          <w:color w:val="auto"/>
          <w:sz w:val="21"/>
          <w:szCs w:val="21"/>
        </w:rPr>
        <w:t>递</w:t>
      </w:r>
      <w:r>
        <w:rPr>
          <w:rFonts w:ascii="宋体" w:hAnsi="宋体" w:eastAsia="宋体"/>
          <w:color w:val="auto"/>
          <w:sz w:val="21"/>
          <w:szCs w:val="21"/>
        </w:rPr>
        <w:t>交投标文件的截止时间。在此情况下，投标人的所有权利和义务以及投标人受制约的截止时间，均以延长后新的投标截止时间为准。</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54" w:name="_Toc6003"/>
      <w:r>
        <w:rPr>
          <w:rFonts w:hint="eastAsia" w:ascii="宋体" w:hAnsi="宋体" w:eastAsia="宋体"/>
          <w:color w:val="auto"/>
          <w:sz w:val="21"/>
          <w:szCs w:val="21"/>
        </w:rPr>
        <w:t>21.投标文件的补充、修改与撤回</w:t>
      </w:r>
      <w:bookmarkEnd w:id="54"/>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投标人在提交投标文件截止时间前，可以对所提交的投标文件进行补充、修改或撤回，并以纸质版形式通知采购代理机构。在提交投标文件截止时间之后，投标人不得对其投标文件做出任何的补充和修改。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投标人对投标文件的补充、修改的内容应当按招标文件要求的签署、盖章、密封后，作为投标文件的组成部分。并按照招标文件规定密封和标记的要求提交，并在投标文件密封袋上标明“补充、修改”字样。</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投标文件一经递交不予退还。</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在提交投标文件截止时间至投标有效期满之前，投标人不得撤回其投标，否则其投标保证金将不予退还。</w:t>
      </w:r>
    </w:p>
    <w:p>
      <w:pPr>
        <w:pStyle w:val="6"/>
        <w:rPr>
          <w:color w:val="auto"/>
        </w:rPr>
      </w:pPr>
    </w:p>
    <w:p>
      <w:pPr>
        <w:pStyle w:val="3"/>
        <w:numPr>
          <w:ilvl w:val="0"/>
          <w:numId w:val="1"/>
        </w:numPr>
        <w:spacing w:before="0" w:after="0" w:line="480" w:lineRule="auto"/>
        <w:jc w:val="center"/>
        <w:rPr>
          <w:rFonts w:ascii="宋体" w:hAnsi="宋体" w:eastAsia="宋体"/>
          <w:color w:val="auto"/>
        </w:rPr>
      </w:pPr>
      <w:bookmarkStart w:id="55" w:name="_Toc29574"/>
      <w:r>
        <w:rPr>
          <w:rFonts w:hint="eastAsia" w:ascii="宋体" w:hAnsi="宋体" w:eastAsia="宋体"/>
          <w:color w:val="auto"/>
        </w:rPr>
        <w:t>开标与评标</w:t>
      </w:r>
      <w:bookmarkEnd w:id="55"/>
    </w:p>
    <w:p>
      <w:pPr>
        <w:pStyle w:val="4"/>
        <w:widowControl w:val="0"/>
        <w:overflowPunct w:val="0"/>
        <w:spacing w:before="0" w:after="0" w:line="240" w:lineRule="auto"/>
        <w:rPr>
          <w:rFonts w:ascii="宋体" w:hAnsi="宋体" w:eastAsia="宋体"/>
          <w:color w:val="auto"/>
          <w:sz w:val="21"/>
          <w:szCs w:val="21"/>
        </w:rPr>
      </w:pPr>
      <w:bookmarkStart w:id="56" w:name="_Toc28458"/>
      <w:r>
        <w:rPr>
          <w:rFonts w:hint="eastAsia" w:ascii="宋体" w:hAnsi="宋体" w:eastAsia="宋体"/>
          <w:color w:val="auto"/>
          <w:sz w:val="21"/>
          <w:szCs w:val="21"/>
        </w:rPr>
        <w:t>22.开标</w:t>
      </w:r>
      <w:bookmarkEnd w:id="56"/>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采购代理机构按</w:t>
      </w:r>
      <w:r>
        <w:rPr>
          <w:rFonts w:ascii="宋体" w:hAnsi="宋体" w:eastAsia="宋体"/>
          <w:color w:val="auto"/>
          <w:sz w:val="21"/>
          <w:szCs w:val="21"/>
        </w:rPr>
        <w:t>本</w:t>
      </w:r>
      <w:r>
        <w:rPr>
          <w:rFonts w:hint="eastAsia" w:ascii="宋体" w:hAnsi="宋体" w:eastAsia="宋体"/>
          <w:color w:val="auto"/>
          <w:sz w:val="21"/>
          <w:szCs w:val="21"/>
        </w:rPr>
        <w:t>招标文件</w:t>
      </w:r>
      <w:r>
        <w:rPr>
          <w:rFonts w:ascii="宋体" w:hAnsi="宋体" w:eastAsia="宋体"/>
          <w:color w:val="auto"/>
          <w:sz w:val="21"/>
          <w:szCs w:val="21"/>
        </w:rPr>
        <w:t>所规定的时间和地点公开开标，并邀请所有投标人</w:t>
      </w:r>
      <w:r>
        <w:rPr>
          <w:rFonts w:hint="eastAsia" w:ascii="宋体" w:hAnsi="宋体" w:eastAsia="宋体"/>
          <w:color w:val="auto"/>
          <w:sz w:val="21"/>
          <w:szCs w:val="21"/>
        </w:rPr>
        <w:t>代表</w:t>
      </w:r>
      <w:r>
        <w:rPr>
          <w:rFonts w:ascii="宋体" w:hAnsi="宋体" w:eastAsia="宋体"/>
          <w:color w:val="auto"/>
          <w:sz w:val="21"/>
          <w:szCs w:val="21"/>
        </w:rPr>
        <w:t>参加。</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开标程序：</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开标</w:t>
      </w:r>
      <w:r>
        <w:rPr>
          <w:rFonts w:hint="eastAsia" w:ascii="宋体" w:hAnsi="宋体" w:eastAsia="宋体"/>
          <w:color w:val="auto"/>
          <w:sz w:val="21"/>
          <w:szCs w:val="21"/>
        </w:rPr>
        <w:t>会</w:t>
      </w:r>
      <w:r>
        <w:rPr>
          <w:rFonts w:ascii="宋体" w:hAnsi="宋体" w:eastAsia="宋体"/>
          <w:color w:val="auto"/>
          <w:sz w:val="21"/>
          <w:szCs w:val="21"/>
        </w:rPr>
        <w:t>由</w:t>
      </w:r>
      <w:r>
        <w:rPr>
          <w:rFonts w:hint="eastAsia" w:ascii="宋体" w:hAnsi="宋体" w:eastAsia="宋体"/>
          <w:color w:val="auto"/>
          <w:sz w:val="21"/>
          <w:szCs w:val="21"/>
        </w:rPr>
        <w:t>采购代理机构</w:t>
      </w:r>
      <w:r>
        <w:rPr>
          <w:rFonts w:ascii="宋体" w:hAnsi="宋体" w:eastAsia="宋体"/>
          <w:color w:val="auto"/>
          <w:sz w:val="21"/>
          <w:szCs w:val="21"/>
        </w:rPr>
        <w:t>主持</w:t>
      </w:r>
      <w:r>
        <w:rPr>
          <w:rFonts w:hint="eastAsia" w:ascii="宋体" w:hAnsi="宋体" w:eastAsia="宋体"/>
          <w:color w:val="auto"/>
          <w:sz w:val="21"/>
          <w:szCs w:val="21"/>
        </w:rPr>
        <w:t>，投标人的法定代表人或其授权代表携带有效身份证明准时参加开标会并签名报到。</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开标时，由投标人或者其推选的代表检查投标文件的密封情况；经确认无误后，由采购人或者采购代理机构工作人员当众拆封，宣布投标人名称、投标价格和招标文件规定的需要宣布的其他内容；</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代表对开标过程和开标记录有异议，以及认为采购人、采购代理机构相关工作人员有需要回避的情形的，应当场提出询问或者回避申请。开标现场未提出异议的视为认同开标结果。开标结束后，投标人对开标过程和开标记录不得再提出异议。</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投标人未参加开标的，视同认可开标结果。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合格投标人不足3家的，不得开标；</w:t>
      </w:r>
    </w:p>
    <w:p>
      <w:pPr>
        <w:widowControl w:val="0"/>
        <w:numPr>
          <w:ilvl w:val="1"/>
          <w:numId w:val="2"/>
        </w:numPr>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开标过程应当由采购人或者采购代理机构负责记录，由参加开标的各投标人代表和相关工作人员签字确认。</w:t>
      </w:r>
    </w:p>
    <w:p>
      <w:pPr>
        <w:widowControl w:val="0"/>
        <w:adjustRightInd/>
        <w:snapToGrid/>
        <w:spacing w:after="0" w:line="360" w:lineRule="exact"/>
        <w:ind w:left="567"/>
        <w:jc w:val="both"/>
        <w:rPr>
          <w:color w:val="auto"/>
        </w:rPr>
      </w:pPr>
    </w:p>
    <w:p>
      <w:pPr>
        <w:pStyle w:val="4"/>
        <w:widowControl w:val="0"/>
        <w:overflowPunct w:val="0"/>
        <w:spacing w:before="0" w:after="0" w:line="240" w:lineRule="auto"/>
        <w:rPr>
          <w:rFonts w:ascii="宋体" w:hAnsi="宋体" w:eastAsia="宋体"/>
          <w:color w:val="auto"/>
          <w:sz w:val="21"/>
          <w:szCs w:val="21"/>
        </w:rPr>
      </w:pPr>
      <w:bookmarkStart w:id="57" w:name="_Toc5524"/>
      <w:r>
        <w:rPr>
          <w:rFonts w:hint="eastAsia" w:ascii="宋体" w:hAnsi="宋体" w:eastAsia="宋体"/>
          <w:color w:val="auto"/>
          <w:sz w:val="21"/>
          <w:szCs w:val="21"/>
        </w:rPr>
        <w:t>23.评标委员会及评标方法</w:t>
      </w:r>
      <w:bookmarkEnd w:id="57"/>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评标委员会根据招标项目的特点进行组建，并负责评标工作。</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评审方法：本次招标的评审方法采用综合评分法。</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定标原则：在最大限度</w:t>
      </w:r>
      <w:r>
        <w:rPr>
          <w:rFonts w:ascii="宋体" w:hAnsi="宋体" w:eastAsia="宋体"/>
          <w:color w:val="auto"/>
          <w:sz w:val="21"/>
          <w:szCs w:val="21"/>
        </w:rPr>
        <w:t>满足招标文件</w:t>
      </w:r>
      <w:r>
        <w:rPr>
          <w:rFonts w:hint="eastAsia" w:ascii="宋体" w:hAnsi="宋体" w:eastAsia="宋体"/>
          <w:color w:val="auto"/>
          <w:sz w:val="21"/>
          <w:szCs w:val="21"/>
        </w:rPr>
        <w:t>实质性要求前提下，按照招标文件规定的各项评价因素进行量化打分，以评标总得分最高的投标人作为中标候选人或中标人。</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评标委员会对投标文件的评审内容，分为商务评议、技术评议和价格评议。评审流程包括符合性检查、澄清问题、比较与评价、推荐中标候选人或确定中标人、编写评标报告等步骤。</w:t>
      </w:r>
    </w:p>
    <w:p>
      <w:pPr>
        <w:widowControl w:val="0"/>
        <w:numPr>
          <w:ilvl w:val="1"/>
          <w:numId w:val="2"/>
        </w:numPr>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在评标期间，评标委员会可要求投标人对其投标文件进行澄清，但不得寻求、提供或允许对投标价格等实质性内容做任何更改。有关澄清的要求和答复均应以纸质版形式提交，如投标人拒绝评标委员会要求对其投标文件进行澄清的要求，所造成的后果由投标人自行承担。</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58" w:name="_Toc15231"/>
      <w:r>
        <w:rPr>
          <w:rFonts w:hint="eastAsia" w:ascii="宋体" w:hAnsi="宋体" w:eastAsia="宋体"/>
          <w:color w:val="auto"/>
          <w:sz w:val="21"/>
          <w:szCs w:val="21"/>
        </w:rPr>
        <w:t>24.评审原则及评标过程的保密</w:t>
      </w:r>
      <w:bookmarkEnd w:id="58"/>
    </w:p>
    <w:p>
      <w:pPr>
        <w:pStyle w:val="24"/>
        <w:widowControl w:val="0"/>
        <w:numPr>
          <w:ilvl w:val="0"/>
          <w:numId w:val="2"/>
        </w:numPr>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评审的基本原则：评标委员会将依据《中华人民共和国政府采购法》及国家和地方政府有关法规的规定，遵循“</w:t>
      </w:r>
      <w:r>
        <w:rPr>
          <w:rFonts w:hint="eastAsia" w:ascii="宋体" w:hAnsi="宋体" w:eastAsia="宋体"/>
          <w:sz w:val="21"/>
          <w:szCs w:val="21"/>
          <w:lang w:eastAsia="zh-CN"/>
        </w:rPr>
        <w:t>客观、公正、审慎</w:t>
      </w:r>
      <w:r>
        <w:rPr>
          <w:rFonts w:hint="eastAsia" w:ascii="宋体" w:hAnsi="宋体" w:eastAsia="宋体"/>
          <w:color w:val="auto"/>
          <w:sz w:val="21"/>
          <w:szCs w:val="21"/>
        </w:rPr>
        <w:t>”的原则进行评审工作。</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从公开开标到签订合同，凡与审查、澄清、评审和投标有关的资料以及定标意见相关的事项，均不得向投标人及与评标无关的其他人透露。</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任何单位和个人不得非法干预、影响评标的过程和结果。</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59" w:name="_Toc3762"/>
      <w:r>
        <w:rPr>
          <w:rFonts w:hint="eastAsia" w:ascii="宋体" w:hAnsi="宋体" w:eastAsia="宋体"/>
          <w:color w:val="auto"/>
          <w:sz w:val="21"/>
          <w:szCs w:val="21"/>
        </w:rPr>
        <w:t>25.投标文件的初审</w:t>
      </w:r>
      <w:bookmarkEnd w:id="59"/>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b/>
          <w:color w:val="auto"/>
          <w:sz w:val="21"/>
          <w:szCs w:val="21"/>
        </w:rPr>
      </w:pPr>
      <w:r>
        <w:rPr>
          <w:rFonts w:hint="eastAsia" w:ascii="宋体" w:hAnsi="宋体" w:eastAsia="宋体"/>
          <w:color w:val="auto"/>
          <w:sz w:val="21"/>
          <w:szCs w:val="21"/>
        </w:rPr>
        <w:t>开标结束后，采购人或者采购代理机构将依法对投标人的资格进行审查。资格审查时，投标人存在不符合资格性检查所要求事项情况的，投标无效。未通过资格审查的投标人不进入</w:t>
      </w:r>
      <w:r>
        <w:rPr>
          <w:rFonts w:hint="eastAsia" w:ascii="宋体" w:hAnsi="宋体" w:eastAsia="宋体"/>
          <w:color w:val="auto"/>
          <w:sz w:val="21"/>
          <w:szCs w:val="21"/>
          <w:lang w:eastAsia="zh-CN"/>
        </w:rPr>
        <w:t>符合性审查</w:t>
      </w:r>
      <w:r>
        <w:rPr>
          <w:rFonts w:hint="eastAsia" w:ascii="宋体" w:hAnsi="宋体" w:eastAsia="宋体"/>
          <w:color w:val="auto"/>
          <w:sz w:val="21"/>
          <w:szCs w:val="21"/>
        </w:rPr>
        <w:t>的评审</w:t>
      </w:r>
      <w:r>
        <w:rPr>
          <w:rFonts w:hint="eastAsia" w:ascii="宋体" w:hAnsi="宋体" w:eastAsia="宋体"/>
          <w:color w:val="auto"/>
          <w:sz w:val="21"/>
          <w:szCs w:val="21"/>
          <w:lang w:eastAsia="zh-CN"/>
        </w:rPr>
        <w:t>，</w:t>
      </w:r>
      <w:r>
        <w:rPr>
          <w:rFonts w:hint="eastAsia" w:ascii="宋体" w:hAnsi="宋体" w:eastAsia="宋体"/>
          <w:b/>
          <w:color w:val="auto"/>
          <w:sz w:val="21"/>
          <w:szCs w:val="21"/>
        </w:rPr>
        <w:t>资格性检查</w:t>
      </w:r>
      <w:r>
        <w:rPr>
          <w:rFonts w:hint="eastAsia" w:ascii="宋体" w:hAnsi="宋体" w:eastAsia="宋体"/>
          <w:b/>
          <w:color w:val="auto"/>
          <w:sz w:val="21"/>
          <w:szCs w:val="21"/>
          <w:lang w:eastAsia="zh-CN"/>
        </w:rPr>
        <w:t>中发现下列情形之一的，其投标作废标处理：</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1) 资格瑕疵</w:t>
      </w:r>
    </w:p>
    <w:p>
      <w:pPr>
        <w:widowControl w:val="0"/>
        <w:tabs>
          <w:tab w:val="left" w:pos="907"/>
        </w:tabs>
        <w:adjustRightInd/>
        <w:snapToGrid/>
        <w:spacing w:after="0" w:line="360" w:lineRule="exact"/>
        <w:ind w:left="567"/>
        <w:jc w:val="both"/>
        <w:rPr>
          <w:rFonts w:hint="eastAsia" w:ascii="宋体" w:hAnsi="宋体" w:eastAsia="宋体"/>
          <w:color w:val="auto"/>
          <w:sz w:val="21"/>
          <w:szCs w:val="21"/>
          <w:lang w:eastAsia="zh-CN"/>
        </w:rPr>
      </w:pPr>
      <w:r>
        <w:rPr>
          <w:rFonts w:hint="eastAsia" w:ascii="宋体" w:hAnsi="宋体" w:eastAsia="宋体"/>
          <w:color w:val="auto"/>
          <w:sz w:val="21"/>
          <w:szCs w:val="21"/>
        </w:rPr>
        <w:t>包括但不限于：①资格证明文件未提供或不符合招标文件要求的；</w:t>
      </w:r>
      <w:r>
        <w:rPr>
          <w:rFonts w:ascii="宋体" w:hAnsi="宋体" w:eastAsia="宋体"/>
          <w:color w:val="auto"/>
          <w:sz w:val="21"/>
          <w:szCs w:val="21"/>
        </w:rPr>
        <w:t xml:space="preserve"> </w:t>
      </w:r>
      <w:r>
        <w:rPr>
          <w:rFonts w:hint="eastAsia" w:ascii="宋体" w:hAnsi="宋体" w:eastAsia="宋体"/>
          <w:color w:val="auto"/>
          <w:sz w:val="21"/>
          <w:szCs w:val="21"/>
        </w:rPr>
        <w:t>②资格证明文件有效期过期的；③《营业执照》复印件（加盖公章）或《事业单位法人证书》复印件（加盖公章）或其他主体证书复印件（加盖公章）未提供或有效期过期的</w:t>
      </w:r>
      <w:r>
        <w:rPr>
          <w:rFonts w:hint="eastAsia" w:ascii="宋体" w:hAnsi="宋体" w:eastAsia="宋体"/>
          <w:color w:val="auto"/>
          <w:sz w:val="21"/>
          <w:szCs w:val="21"/>
          <w:lang w:eastAsia="zh-CN"/>
        </w:rPr>
        <w:t>；④提供的资质材料模糊不清导致无法辨认的。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投标保证金瑕疵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包括但不限于：①投标人未按招标文件要求提交投标保证金；②提交方式、提交时间、提交金额不符合招标文件要求；③投标保证金有效期不符合招标文件要求。</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评标委员会将对符合资格的投标人的投标文件进行符合性审查，以确定其是否满足招标文件的实质性要求。投标人不得通过修正或撤消不合要求的偏离或保留从而使其投标成为实质上响应的投标。</w:t>
      </w:r>
      <w:r>
        <w:rPr>
          <w:rFonts w:hint="eastAsia" w:ascii="宋体" w:hAnsi="宋体" w:eastAsia="宋体"/>
          <w:color w:val="auto"/>
          <w:sz w:val="21"/>
          <w:szCs w:val="21"/>
          <w:lang w:eastAsia="zh-CN"/>
        </w:rPr>
        <w:t>符合性审查过程</w:t>
      </w:r>
      <w:r>
        <w:rPr>
          <w:rFonts w:hint="eastAsia" w:ascii="宋体" w:hAnsi="宋体" w:eastAsia="宋体"/>
          <w:color w:val="auto"/>
          <w:sz w:val="21"/>
          <w:szCs w:val="21"/>
        </w:rPr>
        <w:t>中，</w:t>
      </w:r>
      <w:r>
        <w:rPr>
          <w:rFonts w:hint="eastAsia" w:ascii="宋体" w:hAnsi="宋体" w:eastAsia="宋体"/>
          <w:b/>
          <w:color w:val="auto"/>
          <w:sz w:val="21"/>
          <w:szCs w:val="21"/>
        </w:rPr>
        <w:t>发现下列情况之一的，其投标将作废标处理</w:t>
      </w:r>
      <w:r>
        <w:rPr>
          <w:rFonts w:hint="eastAsia" w:ascii="宋体" w:hAnsi="宋体" w:eastAsia="宋体"/>
          <w:color w:val="auto"/>
          <w:sz w:val="21"/>
          <w:szCs w:val="21"/>
        </w:rPr>
        <w:t>：</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b/>
          <w:color w:val="auto"/>
          <w:sz w:val="21"/>
          <w:szCs w:val="21"/>
        </w:rPr>
        <w:t>1) 投标文件的有效性、完整性瑕疵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包括但不限于：①投标文件的数量、制作不符合要求</w:t>
      </w:r>
      <w:r>
        <w:rPr>
          <w:rFonts w:hint="eastAsia" w:ascii="宋体" w:hAnsi="宋体" w:eastAsia="宋体"/>
          <w:color w:val="auto"/>
          <w:sz w:val="21"/>
          <w:szCs w:val="21"/>
          <w:lang w:eastAsia="zh-CN"/>
        </w:rPr>
        <w:t>、</w:t>
      </w:r>
      <w:r>
        <w:rPr>
          <w:rFonts w:hint="eastAsia" w:ascii="宋体" w:hAnsi="宋体" w:eastAsia="宋体"/>
          <w:color w:val="auto"/>
          <w:sz w:val="21"/>
          <w:szCs w:val="21"/>
        </w:rPr>
        <w:t>投标文件内容与采购内容不符的</w:t>
      </w:r>
      <w:r>
        <w:rPr>
          <w:rFonts w:hint="eastAsia" w:ascii="宋体" w:hAnsi="宋体" w:eastAsia="宋体"/>
          <w:color w:val="auto"/>
          <w:sz w:val="21"/>
          <w:szCs w:val="21"/>
          <w:lang w:eastAsia="zh-CN"/>
        </w:rPr>
        <w:t>（包括但不限于</w:t>
      </w:r>
      <w:r>
        <w:rPr>
          <w:rFonts w:hint="eastAsia" w:ascii="宋体" w:hAnsi="宋体" w:eastAsia="宋体"/>
          <w:color w:val="auto"/>
          <w:sz w:val="21"/>
          <w:szCs w:val="21"/>
        </w:rPr>
        <w:t>投标文件项目采购项目编号错误，投标文件项目名称错误导致无法</w:t>
      </w:r>
      <w:r>
        <w:rPr>
          <w:rFonts w:hint="eastAsia" w:ascii="宋体" w:hAnsi="宋体" w:eastAsia="宋体"/>
          <w:color w:val="auto"/>
          <w:sz w:val="21"/>
          <w:szCs w:val="21"/>
          <w:lang w:val="en-US" w:eastAsia="zh-CN"/>
        </w:rPr>
        <w:t>分辨</w:t>
      </w:r>
      <w:r>
        <w:rPr>
          <w:rFonts w:hint="eastAsia" w:ascii="宋体" w:hAnsi="宋体" w:eastAsia="宋体"/>
          <w:color w:val="auto"/>
          <w:sz w:val="21"/>
          <w:szCs w:val="21"/>
        </w:rPr>
        <w:t>所投项目为本项目</w:t>
      </w: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投标文件数量少于招标文件要求的</w:t>
      </w:r>
      <w:r>
        <w:rPr>
          <w:rFonts w:hint="eastAsia" w:ascii="宋体" w:hAnsi="宋体" w:eastAsia="宋体"/>
          <w:color w:val="auto"/>
          <w:sz w:val="21"/>
          <w:szCs w:val="21"/>
          <w:lang w:eastAsia="zh-CN"/>
        </w:rPr>
        <w:t>）</w:t>
      </w:r>
      <w:r>
        <w:rPr>
          <w:rFonts w:hint="eastAsia" w:ascii="宋体" w:hAnsi="宋体" w:eastAsia="宋体"/>
          <w:color w:val="auto"/>
          <w:sz w:val="21"/>
          <w:szCs w:val="21"/>
        </w:rPr>
        <w:t>；②投标文件中要求签字的内容无法定代表人或其授权代表签字，或签字人无法定代表人有效授权的；③签字盖章不符合招标文件要求的；④投标文件内容有严重缺漏项的；</w:t>
      </w:r>
      <w:r>
        <w:rPr>
          <w:rFonts w:hint="eastAsia" w:ascii="宋体" w:hAnsi="宋体" w:eastAsia="宋体"/>
          <w:color w:val="auto"/>
          <w:sz w:val="21"/>
          <w:szCs w:val="21"/>
          <w:lang w:eastAsia="zh-CN"/>
        </w:rPr>
        <w:t>⑤</w:t>
      </w:r>
      <w:r>
        <w:rPr>
          <w:rFonts w:hint="eastAsia" w:ascii="宋体" w:hAnsi="宋体" w:eastAsia="宋体"/>
          <w:color w:val="auto"/>
          <w:sz w:val="21"/>
          <w:szCs w:val="21"/>
        </w:rPr>
        <w:t>投标文件的关键内容字迹模糊、无法辨认的；</w:t>
      </w:r>
      <w:r>
        <w:rPr>
          <w:rFonts w:hint="eastAsia" w:ascii="宋体" w:hAnsi="宋体" w:eastAsia="宋体"/>
          <w:color w:val="auto"/>
          <w:sz w:val="21"/>
          <w:szCs w:val="21"/>
          <w:lang w:eastAsia="zh-CN"/>
        </w:rPr>
        <w:t>⑥</w:t>
      </w:r>
      <w:r>
        <w:rPr>
          <w:rFonts w:hint="eastAsia" w:ascii="宋体" w:hAnsi="宋体" w:eastAsia="宋体"/>
          <w:color w:val="auto"/>
          <w:sz w:val="21"/>
          <w:szCs w:val="21"/>
        </w:rPr>
        <w:t>投标有效期不符合文件要求的。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2) 技术响应瑕疵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投标文件不满足招标文件中加注星号（★）的主要参数要求或加注星号的主要参数无技术资料支持的；②一般参数超出允许偏离的最大范围或最高项数的；③投标文件技术响应与事实不符或虚假投标的；④《技术规格偏离表》未提供的；⑤将一个包中的内容拆开投标的；⑥投标人对同一货物或服务投标时，</w:t>
      </w:r>
      <w:r>
        <w:rPr>
          <w:rFonts w:hint="eastAsia" w:ascii="宋体" w:hAnsi="宋体" w:eastAsia="宋体"/>
          <w:color w:val="auto"/>
          <w:sz w:val="21"/>
          <w:szCs w:val="21"/>
          <w:lang w:eastAsia="zh-CN"/>
        </w:rPr>
        <w:t>投标方案不唯一</w:t>
      </w:r>
      <w:r>
        <w:rPr>
          <w:rFonts w:hint="eastAsia" w:ascii="宋体" w:hAnsi="宋体" w:eastAsia="宋体"/>
          <w:color w:val="auto"/>
          <w:sz w:val="21"/>
          <w:szCs w:val="21"/>
        </w:rPr>
        <w:t>；⑦明显不符合技术规格、技术标准要求的；⑧其他未实质性响应招标文件技术要求的。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3) 商务响应瑕疵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包括但不限于：①招标文件加注星号（★）的商务要求负偏离的；②招标项目完成期（包括但不限于：工期，服务期，交货期等）未满足招标文件要求的；③投标文件载明的货物包装方式、检验标准和方法不符合招标文件要求的；④《商务条款偏离表》未提供的；</w:t>
      </w:r>
      <w:r>
        <w:rPr>
          <w:rFonts w:hint="eastAsia" w:ascii="宋体" w:hAnsi="宋体" w:eastAsia="宋体"/>
          <w:color w:val="auto"/>
          <w:sz w:val="21"/>
          <w:szCs w:val="21"/>
          <w:lang w:eastAsia="zh-CN"/>
        </w:rPr>
        <w:t>⑤</w:t>
      </w:r>
      <w:r>
        <w:rPr>
          <w:rFonts w:hint="eastAsia" w:ascii="宋体" w:hAnsi="宋体" w:eastAsia="宋体"/>
          <w:color w:val="auto"/>
          <w:sz w:val="21"/>
          <w:szCs w:val="21"/>
        </w:rPr>
        <w:t>投标文件附有采购人不能接受的条件的；</w:t>
      </w:r>
      <w:r>
        <w:rPr>
          <w:rFonts w:hint="eastAsia" w:ascii="宋体" w:hAnsi="宋体" w:eastAsia="宋体"/>
          <w:color w:val="auto"/>
          <w:sz w:val="21"/>
          <w:szCs w:val="21"/>
          <w:lang w:eastAsia="zh-CN"/>
        </w:rPr>
        <w:t>⑥</w:t>
      </w:r>
      <w:r>
        <w:rPr>
          <w:rFonts w:hint="eastAsia" w:ascii="宋体" w:hAnsi="宋体" w:eastAsia="宋体"/>
          <w:color w:val="auto"/>
          <w:sz w:val="21"/>
          <w:szCs w:val="21"/>
        </w:rPr>
        <w:t>其他未实质性响应招标文件商务要求的。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4）投标报价瑕疵</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lang w:eastAsia="zh-CN"/>
        </w:rPr>
        <w:t>包括但不限于：</w:t>
      </w:r>
      <w:r>
        <w:rPr>
          <w:rFonts w:hint="eastAsia" w:ascii="宋体" w:hAnsi="宋体" w:eastAsia="宋体"/>
          <w:color w:val="auto"/>
          <w:sz w:val="21"/>
          <w:szCs w:val="21"/>
        </w:rPr>
        <w:t>①投标报价超过本招标文件明确的项目预算或文件明确的最高限价；②</w:t>
      </w:r>
      <w:r>
        <w:rPr>
          <w:rFonts w:hint="eastAsia" w:ascii="宋体" w:hAnsi="宋体" w:eastAsia="宋体"/>
          <w:color w:val="auto"/>
          <w:sz w:val="21"/>
          <w:szCs w:val="21"/>
          <w:lang w:eastAsia="zh-CN"/>
        </w:rPr>
        <w:t>未按招标文件要求进行报价的</w:t>
      </w:r>
      <w:r>
        <w:rPr>
          <w:rFonts w:hint="eastAsia" w:ascii="宋体" w:hAnsi="宋体" w:eastAsia="宋体"/>
          <w:color w:val="auto"/>
          <w:sz w:val="21"/>
          <w:szCs w:val="21"/>
        </w:rPr>
        <w:t>；③</w:t>
      </w:r>
      <w:r>
        <w:rPr>
          <w:rFonts w:hint="eastAsia" w:ascii="宋体" w:hAnsi="宋体" w:eastAsia="宋体"/>
          <w:color w:val="auto"/>
          <w:sz w:val="21"/>
          <w:szCs w:val="21"/>
          <w:lang w:eastAsia="zh-CN"/>
        </w:rPr>
        <w:t>报价内容或报价格式不符合招标文件要求的；④投标报价有严重缺漏项的。</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5）违规行为</w:t>
      </w:r>
    </w:p>
    <w:p>
      <w:pPr>
        <w:widowControl w:val="0"/>
        <w:tabs>
          <w:tab w:val="left" w:pos="907"/>
        </w:tabs>
        <w:adjustRightInd/>
        <w:snapToGrid/>
        <w:spacing w:after="0" w:line="360" w:lineRule="exact"/>
        <w:ind w:left="567"/>
        <w:jc w:val="both"/>
        <w:rPr>
          <w:rFonts w:hint="eastAsia" w:ascii="宋体" w:hAnsi="宋体" w:eastAsia="宋体"/>
          <w:color w:val="auto"/>
          <w:sz w:val="21"/>
          <w:szCs w:val="21"/>
          <w:lang w:eastAsia="zh-CN"/>
        </w:rPr>
      </w:pPr>
      <w:r>
        <w:rPr>
          <w:rFonts w:hint="eastAsia" w:ascii="宋体" w:hAnsi="宋体" w:eastAsia="宋体"/>
          <w:color w:val="auto"/>
          <w:sz w:val="21"/>
          <w:szCs w:val="21"/>
        </w:rPr>
        <w:t>包括但不限于：①以他人的名义投标、串通投标、以行贿手段谋取中标或者以其他弄虚作假方式投标的；②扰乱开标、评标秩序，干扰招标工作正常进行的。</w:t>
      </w:r>
      <w:r>
        <w:rPr>
          <w:rFonts w:hint="eastAsia" w:ascii="宋体" w:hAnsi="宋体" w:eastAsia="宋体"/>
          <w:color w:val="auto"/>
          <w:sz w:val="21"/>
          <w:szCs w:val="21"/>
          <w:lang w:eastAsia="zh-CN"/>
        </w:rPr>
        <w:t>③存在经评标委员会认定的其他违规违法行为。</w:t>
      </w:r>
    </w:p>
    <w:p>
      <w:pPr>
        <w:widowControl w:val="0"/>
        <w:tabs>
          <w:tab w:val="left" w:pos="907"/>
        </w:tabs>
        <w:adjustRightInd/>
        <w:snapToGrid/>
        <w:spacing w:after="0" w:line="360" w:lineRule="exact"/>
        <w:ind w:left="567"/>
        <w:jc w:val="both"/>
        <w:rPr>
          <w:rFonts w:ascii="宋体" w:hAnsi="宋体" w:eastAsia="宋体"/>
          <w:b/>
          <w:color w:val="auto"/>
          <w:sz w:val="21"/>
          <w:szCs w:val="21"/>
        </w:rPr>
      </w:pPr>
      <w:r>
        <w:rPr>
          <w:rFonts w:hint="eastAsia" w:ascii="宋体" w:hAnsi="宋体" w:eastAsia="宋体"/>
          <w:b/>
          <w:color w:val="auto"/>
          <w:sz w:val="21"/>
          <w:szCs w:val="21"/>
        </w:rPr>
        <w:t>6)法律法规及招标文件中规定的其它情形。</w:t>
      </w:r>
    </w:p>
    <w:p>
      <w:pPr>
        <w:widowControl w:val="0"/>
        <w:tabs>
          <w:tab w:val="left" w:pos="907"/>
        </w:tabs>
        <w:adjustRightInd/>
        <w:snapToGrid/>
        <w:spacing w:after="0" w:line="360" w:lineRule="exact"/>
        <w:ind w:left="567"/>
        <w:jc w:val="both"/>
        <w:rPr>
          <w:rFonts w:hint="eastAsia" w:ascii="宋体" w:hAnsi="宋体" w:eastAsia="宋体"/>
          <w:color w:val="auto"/>
          <w:sz w:val="21"/>
          <w:szCs w:val="21"/>
        </w:rPr>
      </w:pPr>
      <w:r>
        <w:rPr>
          <w:rFonts w:hint="eastAsia" w:ascii="宋体" w:hAnsi="宋体" w:eastAsia="宋体"/>
          <w:color w:val="auto"/>
          <w:sz w:val="21"/>
          <w:szCs w:val="21"/>
        </w:rPr>
        <w:t>根据项目情况，评标委员会有权决定招标文件中“可能导致废标”或“可能导致其投标被拒绝”等具体条款是否实施“废标”或“投标被拒绝”，但对同一条款的裁决应适用于每个投标人。</w:t>
      </w:r>
    </w:p>
    <w:p>
      <w:pPr>
        <w:widowControl w:val="0"/>
        <w:numPr>
          <w:ilvl w:val="1"/>
          <w:numId w:val="2"/>
        </w:numPr>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对于投标文件中不构成实质性偏差的不正规、不一致或不规则，评标委员会可以接受，但这种接受不能损害或影响任何投标人的相对排序。</w:t>
      </w:r>
    </w:p>
    <w:p>
      <w:pPr>
        <w:widowControl w:val="0"/>
        <w:numPr>
          <w:ilvl w:val="1"/>
          <w:numId w:val="2"/>
        </w:numPr>
        <w:adjustRightInd/>
        <w:snapToGrid/>
        <w:spacing w:after="0" w:line="360" w:lineRule="exact"/>
        <w:jc w:val="both"/>
        <w:rPr>
          <w:color w:val="auto"/>
        </w:rPr>
      </w:pPr>
      <w:r>
        <w:rPr>
          <w:rFonts w:hint="eastAsia" w:ascii="宋体" w:hAnsi="宋体" w:eastAsia="宋体"/>
          <w:color w:val="auto"/>
          <w:sz w:val="21"/>
          <w:szCs w:val="21"/>
        </w:rPr>
        <w:t>在详细评标之前，评标委员会要审查每份投标文件是否实质上响应了招标文件的要求。实质上响应的投标应该是与招标文件要求的全部主要条款（加“★”号）、条件和规格相符，没有重大偏离的投标。对关键条文的偏离、保留或反对，例如关于投标保证金、合同条款的重大偏离将被认为是实质上的偏离。评标委员会决定投标文件的响应性只根据投标文件本身的内容，而不寻求外部的证据。</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60" w:name="_Toc21742"/>
      <w:r>
        <w:rPr>
          <w:rFonts w:hint="eastAsia" w:ascii="宋体" w:hAnsi="宋体" w:eastAsia="宋体"/>
          <w:color w:val="auto"/>
          <w:sz w:val="21"/>
          <w:szCs w:val="21"/>
        </w:rPr>
        <w:t>26.商务、技术、价格评审（具体评审项目详见投标资料表）</w:t>
      </w:r>
      <w:bookmarkEnd w:id="60"/>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ascii="宋体" w:hAnsi="宋体" w:eastAsia="宋体"/>
          <w:color w:val="auto"/>
          <w:sz w:val="21"/>
          <w:szCs w:val="21"/>
        </w:rPr>
        <w:t>对通过符合性检查的投标人进行商务技术综合评议，针对投标文件对招标文件的响应情况对各个投标人进行商务和技术评分</w:t>
      </w:r>
      <w:r>
        <w:rPr>
          <w:rFonts w:hint="eastAsia" w:ascii="宋体" w:hAnsi="宋体" w:eastAsia="宋体"/>
          <w:color w:val="auto"/>
          <w:sz w:val="21"/>
          <w:szCs w:val="21"/>
        </w:rPr>
        <w:t xml:space="preserve">。 </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投标文件报价出现前后不一致的，评标委员会按照下列规定修正：</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投标文件中开标一览表（报价表）内容与投标文件中相应内容不一致的，以开标一览表（报价表）为准；</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大写金额和小写金额不一致的，以大写金额为准；</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单价金额小数点或者百分比有明显错位的，以开标一览表的总价为准，并修改单价；</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总价金额与按单价汇总金额不一致的，以单价金额计算结果为准。</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同时出现两种以上不一致的，按照前款规定的顺序修正。修正后的报价按照经投标人确认后产生约束力，投标人不确认的，其投标无效。</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对通过符合性审查的投标文件进行详细评审。评标委员会对每一投标文件进行详细的商务评审、技术评审。按照评审程序的规定和依据评分标准，各位评委就每个投标人的技术、商务状况及其对招标文件要求的响应情况进行评议和比较，评出其技术评分和商务评分。根据招标文件规定评出得分，将价格得分、商务得分、技术得分相加得出最终评标得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使用综合评分法的采购项目，</w:t>
      </w:r>
      <w:r>
        <w:rPr>
          <w:rFonts w:hint="eastAsia" w:ascii="宋体" w:hAnsi="宋体" w:eastAsia="宋体"/>
          <w:color w:val="auto"/>
          <w:sz w:val="21"/>
          <w:szCs w:val="21"/>
          <w:lang w:eastAsia="zh-CN"/>
        </w:rPr>
        <w:t>核心产品</w:t>
      </w:r>
      <w:r>
        <w:rPr>
          <w:rFonts w:hint="eastAsia" w:ascii="宋体" w:hAnsi="宋体" w:eastAsia="宋体"/>
          <w:color w:val="auto"/>
          <w:sz w:val="21"/>
          <w:szCs w:val="21"/>
        </w:rPr>
        <w:t>提供相同品牌产品且通过资格审查、符合性审查的不同投标人参加同一合同项下投标的，按一家投标人计算，评审后得分最高的同品牌投标人获得中标人推荐资格</w:t>
      </w:r>
      <w:r>
        <w:rPr>
          <w:rFonts w:hint="eastAsia" w:ascii="宋体" w:hAnsi="宋体" w:eastAsia="宋体"/>
          <w:color w:val="auto"/>
          <w:sz w:val="21"/>
          <w:szCs w:val="21"/>
          <w:lang w:eastAsia="zh-CN"/>
        </w:rPr>
        <w:t>。</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核心产品</w:t>
      </w:r>
      <w:r>
        <w:rPr>
          <w:rFonts w:hint="eastAsia" w:ascii="宋体" w:hAnsi="宋体" w:eastAsia="宋体"/>
          <w:color w:val="auto"/>
          <w:sz w:val="21"/>
          <w:szCs w:val="21"/>
        </w:rPr>
        <w:t>提供相同品牌产品且通过资格审查、符合性审查的不同投标人参加同一合同项下投标</w:t>
      </w:r>
      <w:r>
        <w:rPr>
          <w:rFonts w:hint="eastAsia" w:ascii="宋体" w:hAnsi="宋体" w:eastAsia="宋体"/>
          <w:color w:val="auto"/>
          <w:sz w:val="21"/>
          <w:szCs w:val="21"/>
          <w:lang w:eastAsia="zh-CN"/>
        </w:rPr>
        <w:t>且</w:t>
      </w:r>
      <w:r>
        <w:rPr>
          <w:rFonts w:hint="eastAsia" w:ascii="宋体" w:hAnsi="宋体" w:eastAsia="宋体"/>
          <w:color w:val="auto"/>
          <w:sz w:val="21"/>
          <w:szCs w:val="21"/>
        </w:rPr>
        <w:t>评审得分相同的，按照评审因素的</w:t>
      </w:r>
      <w:r>
        <w:rPr>
          <w:rFonts w:hint="eastAsia" w:ascii="宋体" w:hAnsi="宋体" w:eastAsia="宋体"/>
          <w:color w:val="auto"/>
          <w:sz w:val="21"/>
          <w:szCs w:val="21"/>
          <w:lang w:eastAsia="zh-CN"/>
        </w:rPr>
        <w:t>技术</w:t>
      </w:r>
      <w:r>
        <w:rPr>
          <w:rFonts w:hint="eastAsia" w:ascii="宋体" w:hAnsi="宋体" w:eastAsia="宋体"/>
          <w:color w:val="auto"/>
          <w:sz w:val="21"/>
          <w:szCs w:val="21"/>
        </w:rPr>
        <w:t>评审得分最高的投标人为排名第一的中标候选人，其他同品牌投标人不作为中标候选人。</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61" w:name="_Toc22192"/>
      <w:r>
        <w:rPr>
          <w:rFonts w:hint="eastAsia" w:ascii="宋体" w:hAnsi="宋体" w:eastAsia="宋体"/>
          <w:color w:val="auto"/>
          <w:sz w:val="21"/>
          <w:szCs w:val="21"/>
        </w:rPr>
        <w:t>27.优惠政策</w:t>
      </w:r>
      <w:bookmarkEnd w:id="61"/>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对小型或微型企业、监狱企业、残疾人福利性单位投标的扶持：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财政部、工业和信息化部制定了《政府采购促进中小企业发展暂行办法》的规定，对小型或微型企业产品的价格给予一定比例扣除，用扣除后的价格参与评审。（参加政府采购活动的中小企业应按照招标文件中投标文件格式提出《中小企业声明函》）残疾人福利性单位、监狱企业（注：参加政府采购活动的监狱企业必须提供由省级以上监狱管理局、戒毒管理局(含新疆生产建设兵团)出具的监狱企业证明文件）视同小型、微型企业。</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中小企业划分标准：应当符合《工业和信息化部、国家统计局、国家发展和改革委员会、财政部关于印发中小企业划型标准规定的通知》（工信部联企业〔2011〕300号）的规定；提供本企业制造的货物、承担的工程或者服务，或者提供其他小型或微型企业的制造的货物。本项所称货物不包括使用大型企业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投标人为小型或微型企业且投标产品含小型或微型企业产品时，其对应产品价格的扣除详见投标资料表。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投标人同时为小型、微型企业、监狱企业、残疾人福利性单位任两种或以上情况的，评审中只享受一次价格扣除，不重复进行价格扣除。</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大中型企业和其他自然人、法人或者其他组织与小型、微型企业组成联合体共同参加非专门面向中小企业的政府采购活动。联合协议中约定，小型、微型企业的协议合同金额占到联合体协议合同总金额30%以上的，可给予联合体一定的价格扣除（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符合享受政府采购支持政策的残疾人福利性单位划分标准（根据财政部 民政部 中国残疾人联合会关于促进残疾人就业政府采购政策的通知(财库[2017]141号)）：</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（1）安置的残疾人占本单位在职职工人数的比例不低于25%（含25%），并且安置的残疾人人数不少于10人（含10人）；</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（2）依法与安置的每位残疾人签订了一年以上（含一年）的劳动合同或服务协议；</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（3）为安置的每位残疾人按月足额缴纳了基本养老保险、基本医疗保险、失业保险、工伤保险和生育保险等社会保险费；</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（4）通过银行等金融机构向安置的每位残疾人，按月支付了不低于单位所在区县适用的经省级人民政府批准的月最低工资标准的工资；</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（5）提供本单位制造的货物、承担的工程或者服务（以下简称产品），或者提供其他残疾人福利性单位制造的货物（不包括使用非残疾人福利性单位注册商标的货物）。</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对节能产品或环境标志产品的扶持：</w:t>
      </w:r>
    </w:p>
    <w:p>
      <w:pPr>
        <w:widowControl w:val="0"/>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根据《关于调整优化节能产品、环境标志产品政府采购执行机制的通知》（财库〔</w:t>
      </w:r>
      <w:r>
        <w:rPr>
          <w:rFonts w:hint="eastAsia" w:ascii="宋体" w:hAnsi="宋体" w:eastAsia="宋体"/>
          <w:color w:val="auto"/>
          <w:sz w:val="21"/>
          <w:szCs w:val="21"/>
          <w:lang w:eastAsia="zh-CN"/>
        </w:rPr>
        <w:t>2020</w:t>
      </w:r>
      <w:r>
        <w:rPr>
          <w:rFonts w:hint="eastAsia" w:ascii="宋体" w:hAnsi="宋体" w:eastAsia="宋体"/>
          <w:color w:val="auto"/>
          <w:sz w:val="21"/>
          <w:szCs w:val="21"/>
        </w:rPr>
        <w:t>〕9号）及《转发财政部 发展改革委 生态环境部 市场监管总局关于调整优化节能产品 环境标志产品政府采购执行机制的通知》（粤财采购函〔</w:t>
      </w:r>
      <w:r>
        <w:rPr>
          <w:rFonts w:hint="eastAsia" w:ascii="宋体" w:hAnsi="宋体" w:eastAsia="宋体"/>
          <w:color w:val="auto"/>
          <w:sz w:val="21"/>
          <w:szCs w:val="21"/>
          <w:lang w:eastAsia="zh-CN"/>
        </w:rPr>
        <w:t>2020</w:t>
      </w:r>
      <w:r>
        <w:rPr>
          <w:rFonts w:hint="eastAsia" w:ascii="宋体" w:hAnsi="宋体" w:eastAsia="宋体"/>
          <w:color w:val="auto"/>
          <w:sz w:val="21"/>
          <w:szCs w:val="21"/>
        </w:rPr>
        <w:t>〕1号）的规定，对提供节能产品或环境标志产品的投标单位的价格给予一定比例扣除（扣除比例详见投标资料表）。</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提供节能产品或环境标志产品的投标人其产品应符合以下规定：</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所投产品属于《节能产品政府采购品目清单》或《环境标志产品政府采购品目清单》的，投标人应如实填写《节能产品或环境标志产品列价表》并提供在有效期内的“节能产品认证证书”或“环境标志产品认证证书”。</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投标人所投节能产品或环境标志产品其认证证书的认证机构应属于《市场监管总局关于发布参与实施政府采购节能产品、环境标志产品认证机构名录的公告（</w:t>
      </w:r>
      <w:r>
        <w:rPr>
          <w:rFonts w:hint="eastAsia" w:ascii="宋体" w:hAnsi="宋体" w:eastAsia="宋体"/>
          <w:color w:val="auto"/>
          <w:sz w:val="21"/>
          <w:szCs w:val="21"/>
          <w:lang w:eastAsia="zh-CN"/>
        </w:rPr>
        <w:t>2020</w:t>
      </w:r>
      <w:r>
        <w:rPr>
          <w:rFonts w:hint="eastAsia" w:ascii="宋体" w:hAnsi="宋体" w:eastAsia="宋体"/>
          <w:color w:val="auto"/>
          <w:sz w:val="21"/>
          <w:szCs w:val="21"/>
        </w:rPr>
        <w:t>年第16号）》公告中所公示的认证机构，若投标人所提供的产品认证证书其认证机构不属于以上公示中的机构，则视为无效认证，不给予价格扣除优惠。</w:t>
      </w:r>
    </w:p>
    <w:p>
      <w:pPr>
        <w:widowControl w:val="0"/>
        <w:numPr>
          <w:ilvl w:val="0"/>
          <w:numId w:val="5"/>
        </w:numPr>
        <w:tabs>
          <w:tab w:val="left" w:pos="907"/>
        </w:tabs>
        <w:adjustRightInd/>
        <w:snapToGrid/>
        <w:spacing w:after="0" w:line="360" w:lineRule="exact"/>
        <w:ind w:left="567"/>
        <w:jc w:val="both"/>
        <w:rPr>
          <w:rFonts w:ascii="宋体" w:hAnsi="宋体" w:eastAsia="宋体"/>
          <w:color w:val="auto"/>
          <w:sz w:val="21"/>
          <w:szCs w:val="21"/>
        </w:rPr>
      </w:pPr>
      <w:r>
        <w:rPr>
          <w:rFonts w:hint="eastAsia" w:ascii="宋体" w:hAnsi="宋体" w:eastAsia="宋体"/>
          <w:color w:val="auto"/>
          <w:sz w:val="21"/>
          <w:szCs w:val="21"/>
        </w:rPr>
        <w:t>若用户需求中含有《节能产品政府采购品目清单》中的政府强制采购产品，投标人应根据要求提供所对应的节能产品，否则做投标无效处理。</w:t>
      </w:r>
    </w:p>
    <w:p>
      <w:pPr>
        <w:widowControl w:val="0"/>
        <w:tabs>
          <w:tab w:val="left" w:pos="907"/>
        </w:tabs>
        <w:adjustRightInd/>
        <w:snapToGrid/>
        <w:spacing w:after="0" w:line="360" w:lineRule="exact"/>
        <w:ind w:left="567"/>
        <w:jc w:val="both"/>
        <w:rPr>
          <w:rFonts w:ascii="宋体" w:hAnsi="宋体" w:eastAsia="宋体"/>
          <w:color w:val="auto"/>
          <w:sz w:val="21"/>
          <w:szCs w:val="21"/>
        </w:rPr>
      </w:pPr>
    </w:p>
    <w:p>
      <w:pPr>
        <w:pStyle w:val="4"/>
        <w:widowControl w:val="0"/>
        <w:overflowPunct w:val="0"/>
        <w:spacing w:before="0" w:after="0" w:line="240" w:lineRule="auto"/>
        <w:rPr>
          <w:rFonts w:ascii="宋体" w:hAnsi="宋体" w:eastAsia="宋体"/>
          <w:color w:val="auto"/>
          <w:sz w:val="21"/>
          <w:szCs w:val="21"/>
        </w:rPr>
      </w:pPr>
      <w:bookmarkStart w:id="62" w:name="_Toc316375620"/>
      <w:bookmarkStart w:id="63" w:name="_Toc22591"/>
      <w:bookmarkStart w:id="64" w:name="_Toc20328"/>
      <w:bookmarkStart w:id="65" w:name="_Toc382049120"/>
      <w:r>
        <w:rPr>
          <w:rFonts w:hint="eastAsia" w:ascii="宋体" w:hAnsi="宋体" w:eastAsia="宋体"/>
          <w:color w:val="auto"/>
          <w:sz w:val="21"/>
          <w:szCs w:val="21"/>
        </w:rPr>
        <w:t>28.纪律和</w:t>
      </w:r>
      <w:r>
        <w:rPr>
          <w:rFonts w:ascii="宋体" w:hAnsi="宋体" w:eastAsia="宋体"/>
          <w:color w:val="auto"/>
          <w:sz w:val="21"/>
          <w:szCs w:val="21"/>
        </w:rPr>
        <w:t>保密</w:t>
      </w:r>
      <w:bookmarkEnd w:id="62"/>
      <w:r>
        <w:rPr>
          <w:rFonts w:hint="eastAsia" w:ascii="宋体" w:hAnsi="宋体" w:eastAsia="宋体"/>
          <w:color w:val="auto"/>
          <w:sz w:val="21"/>
          <w:szCs w:val="21"/>
        </w:rPr>
        <w:t>事项</w:t>
      </w:r>
      <w:bookmarkEnd w:id="63"/>
      <w:bookmarkEnd w:id="64"/>
      <w:bookmarkEnd w:id="65"/>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从开标之日起至授予合同期间，在投标文件的审查、澄清、比较和评价阶段，投标人试图对评标委员会和采购代理机构施加任何影响或对采购人的比较及授予合同的决定产生影响，都可能导致其投标文件被拒绝。</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投标人不得串通作弊，以不正当的手段妨碍、排挤其他投标人，扰乱招标市场，破坏公平竞争原则。否则将按相关法律规定严肃处理。</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获得本招标文件的投标人，应对文件进行保密，不得用作本次投标以外的任何用途。开标后，投标人应归还招标文件中要求保密的文件和资料。</w:t>
      </w:r>
    </w:p>
    <w:p>
      <w:pPr>
        <w:rPr>
          <w:color w:val="auto"/>
        </w:rPr>
      </w:pPr>
    </w:p>
    <w:p>
      <w:pPr>
        <w:pStyle w:val="3"/>
        <w:numPr>
          <w:ilvl w:val="0"/>
          <w:numId w:val="1"/>
        </w:numPr>
        <w:spacing w:before="0" w:after="0" w:line="480" w:lineRule="auto"/>
        <w:jc w:val="center"/>
        <w:rPr>
          <w:rFonts w:ascii="宋体" w:hAnsi="宋体" w:eastAsia="宋体"/>
          <w:color w:val="auto"/>
        </w:rPr>
      </w:pPr>
      <w:bookmarkStart w:id="66" w:name="_Toc29310"/>
      <w:r>
        <w:rPr>
          <w:rFonts w:hint="eastAsia" w:ascii="宋体" w:hAnsi="宋体" w:eastAsia="宋体"/>
          <w:color w:val="auto"/>
        </w:rPr>
        <w:t>授予合同</w:t>
      </w:r>
      <w:bookmarkEnd w:id="66"/>
    </w:p>
    <w:p>
      <w:pPr>
        <w:pStyle w:val="4"/>
        <w:widowControl w:val="0"/>
        <w:overflowPunct w:val="0"/>
        <w:spacing w:before="0" w:after="0" w:line="240" w:lineRule="auto"/>
        <w:rPr>
          <w:rFonts w:ascii="宋体" w:hAnsi="宋体" w:eastAsia="宋体"/>
          <w:color w:val="auto"/>
          <w:sz w:val="21"/>
          <w:szCs w:val="21"/>
        </w:rPr>
      </w:pPr>
      <w:bookmarkStart w:id="67" w:name="_Toc508284011"/>
      <w:bookmarkStart w:id="68" w:name="_Toc27817"/>
      <w:r>
        <w:rPr>
          <w:rFonts w:hint="eastAsia" w:ascii="宋体" w:hAnsi="宋体" w:eastAsia="宋体"/>
          <w:color w:val="auto"/>
          <w:sz w:val="21"/>
          <w:szCs w:val="21"/>
        </w:rPr>
        <w:t>29.</w:t>
      </w:r>
      <w:r>
        <w:rPr>
          <w:rFonts w:ascii="宋体" w:hAnsi="宋体" w:eastAsia="宋体"/>
          <w:color w:val="auto"/>
          <w:sz w:val="21"/>
          <w:szCs w:val="21"/>
        </w:rPr>
        <w:t>合同授予标准</w:t>
      </w:r>
      <w:bookmarkEnd w:id="67"/>
      <w:bookmarkEnd w:id="68"/>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根据评标委员会的评审结果，采购人按照评审报告推荐的中标候选人中按顺序依法确定中标人</w:t>
      </w:r>
      <w:r>
        <w:rPr>
          <w:rFonts w:ascii="宋体" w:hAnsi="宋体" w:eastAsia="宋体"/>
          <w:color w:val="auto"/>
          <w:sz w:val="21"/>
          <w:szCs w:val="21"/>
        </w:rPr>
        <w:t>。</w:t>
      </w:r>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69" w:name="_Toc508284013"/>
      <w:bookmarkStart w:id="70" w:name="_Toc29283"/>
      <w:r>
        <w:rPr>
          <w:rFonts w:hint="eastAsia" w:ascii="宋体" w:hAnsi="宋体" w:eastAsia="宋体"/>
          <w:color w:val="auto"/>
          <w:sz w:val="21"/>
          <w:szCs w:val="21"/>
        </w:rPr>
        <w:t>30.发布采购结果</w:t>
      </w:r>
      <w:bookmarkEnd w:id="69"/>
      <w:bookmarkEnd w:id="70"/>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评标委员会提出评标书面报告和推荐中标意见报采购人确认后，采购代理机构将在指定的信息发布媒体上发布公告。</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中标公告期限为1个工作日。</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lang w:eastAsia="zh-CN"/>
        </w:rPr>
        <w:t>结果公示发布后，中标单位应及时领取中标通知书。</w:t>
      </w:r>
      <w:r>
        <w:rPr>
          <w:rFonts w:hint="eastAsia" w:ascii="宋体" w:hAnsi="宋体" w:eastAsia="宋体"/>
          <w:color w:val="auto"/>
          <w:sz w:val="21"/>
          <w:szCs w:val="21"/>
        </w:rPr>
        <w:t>《中标通知书》是合同的一个组成部分，《中标通知书》对采购人和中标人均具有同等法律效力。</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中标人无正当理由不得放弃中标</w:t>
      </w:r>
      <w:r>
        <w:rPr>
          <w:rFonts w:hint="eastAsia" w:ascii="宋体" w:hAnsi="宋体" w:eastAsia="宋体"/>
          <w:color w:val="auto"/>
          <w:sz w:val="21"/>
          <w:szCs w:val="21"/>
          <w:lang w:eastAsia="zh-CN"/>
        </w:rPr>
        <w:t>，因中标人放弃中标而对采购人造成的损失由放弃中标的中标人承担。</w:t>
      </w:r>
    </w:p>
    <w:p>
      <w:pPr>
        <w:widowControl w:val="0"/>
        <w:numPr>
          <w:ilvl w:val="1"/>
          <w:numId w:val="2"/>
        </w:numPr>
        <w:tabs>
          <w:tab w:val="left" w:pos="907"/>
        </w:tabs>
        <w:adjustRightInd/>
        <w:snapToGrid/>
        <w:spacing w:after="0" w:line="360" w:lineRule="exact"/>
        <w:jc w:val="both"/>
        <w:rPr>
          <w:rFonts w:hint="eastAsia" w:ascii="宋体" w:hAnsi="宋体" w:eastAsia="宋体"/>
          <w:color w:val="auto"/>
          <w:sz w:val="21"/>
          <w:szCs w:val="21"/>
        </w:rPr>
      </w:pPr>
      <w:r>
        <w:rPr>
          <w:rFonts w:hint="eastAsia" w:ascii="宋体" w:hAnsi="宋体" w:eastAsia="宋体"/>
          <w:color w:val="auto"/>
          <w:sz w:val="21"/>
          <w:szCs w:val="21"/>
        </w:rPr>
        <w:t>中标人为残疾人福利性单位的，采购人或者其委托的采购代理机构应当随中标、成交结果同时公告其《残疾人福利性单位声明函》，接受社会监督。</w:t>
      </w:r>
    </w:p>
    <w:p>
      <w:pPr>
        <w:widowControl w:val="0"/>
        <w:numPr>
          <w:ilvl w:val="1"/>
          <w:numId w:val="2"/>
        </w:numPr>
        <w:tabs>
          <w:tab w:val="left" w:pos="907"/>
        </w:tabs>
        <w:adjustRightInd/>
        <w:snapToGrid/>
        <w:spacing w:after="0" w:line="360" w:lineRule="exact"/>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原件核查</w:t>
      </w:r>
    </w:p>
    <w:p>
      <w:pPr>
        <w:widowControl w:val="0"/>
        <w:numPr>
          <w:ilvl w:val="2"/>
          <w:numId w:val="2"/>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采购结果发布后，中标单位应在五个工作日内递交相关资质原件到采购代理机构办公地址或采购人指定地址进行核查。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中标单位有下列情形之一的，取消中标资格：</w:t>
      </w:r>
    </w:p>
    <w:p>
      <w:pPr>
        <w:widowControl w:val="0"/>
        <w:numPr>
          <w:ilvl w:val="0"/>
          <w:numId w:val="6"/>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拒绝采购人或采购代理机构原件核查要求的；</w:t>
      </w:r>
    </w:p>
    <w:p>
      <w:pPr>
        <w:widowControl w:val="0"/>
        <w:numPr>
          <w:ilvl w:val="0"/>
          <w:numId w:val="6"/>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未在规定时间内将原件递交到到采购代理机构办公地址或采购人指定地址进行核查的；</w:t>
      </w:r>
    </w:p>
    <w:p>
      <w:pPr>
        <w:widowControl w:val="0"/>
        <w:numPr>
          <w:ilvl w:val="0"/>
          <w:numId w:val="6"/>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在规定时间内递交的原件数量、内容与采购人、采购代理机构要求不一致的；</w:t>
      </w:r>
    </w:p>
    <w:p>
      <w:pPr>
        <w:widowControl w:val="0"/>
        <w:numPr>
          <w:ilvl w:val="0"/>
          <w:numId w:val="6"/>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val="en-US" w:eastAsia="zh-CN"/>
        </w:rPr>
        <w:t>因原件续期、更改等原因不能按时递交原件且未能在规定时间内提供相应部门开具的变更、续期等证明的；</w:t>
      </w:r>
    </w:p>
    <w:p>
      <w:pPr>
        <w:widowControl w:val="0"/>
        <w:numPr>
          <w:ilvl w:val="0"/>
          <w:numId w:val="6"/>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经查原件，投标文件内容有造假行为的。</w:t>
      </w:r>
    </w:p>
    <w:p>
      <w:pPr>
        <w:widowControl w:val="0"/>
        <w:numPr>
          <w:ilvl w:val="2"/>
          <w:numId w:val="2"/>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采购结果发布后，采购代理机构及采购人有权根据评标委员会的建议或要求，对递交了投标文件的未中标投标人进行原件核查。投标人应在采购代理机构或采购人发出纸质通知五个工作日内将原件递交到采购代理机构办公地址或采购人指定地址进行核查。</w:t>
      </w:r>
    </w:p>
    <w:p>
      <w:pPr>
        <w:widowControl w:val="0"/>
        <w:numPr>
          <w:ilvl w:val="2"/>
          <w:numId w:val="2"/>
        </w:numPr>
        <w:tabs>
          <w:tab w:val="left" w:pos="567"/>
          <w:tab w:val="left" w:pos="907"/>
          <w:tab w:val="clear" w:pos="794"/>
        </w:tabs>
        <w:adjustRightInd/>
        <w:snapToGrid/>
        <w:spacing w:after="0" w:line="360" w:lineRule="exact"/>
        <w:ind w:left="794" w:leftChars="0" w:hanging="794" w:firstLine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投标人有下列情形之一的，投标文件作无效处理，其投标无效：</w:t>
      </w:r>
    </w:p>
    <w:p>
      <w:pPr>
        <w:widowControl w:val="0"/>
        <w:numPr>
          <w:ilvl w:val="0"/>
          <w:numId w:val="7"/>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拒绝采购人或采购代理机构原件核查要求的；</w:t>
      </w:r>
    </w:p>
    <w:p>
      <w:pPr>
        <w:widowControl w:val="0"/>
        <w:numPr>
          <w:ilvl w:val="0"/>
          <w:numId w:val="7"/>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未在规定时间内将原件递交到到采购代理机构办公地址或采购人指定地址进行核查的；</w:t>
      </w:r>
    </w:p>
    <w:p>
      <w:pPr>
        <w:widowControl w:val="0"/>
        <w:numPr>
          <w:ilvl w:val="0"/>
          <w:numId w:val="7"/>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在规定时间内递交的原件数量、内容不符合采购人、采购代理机构要求的；</w:t>
      </w:r>
    </w:p>
    <w:p>
      <w:pPr>
        <w:widowControl w:val="0"/>
        <w:numPr>
          <w:ilvl w:val="0"/>
          <w:numId w:val="7"/>
        </w:numPr>
        <w:tabs>
          <w:tab w:val="left" w:pos="567"/>
          <w:tab w:val="left" w:pos="907"/>
        </w:tabs>
        <w:adjustRightInd/>
        <w:snapToGrid/>
        <w:spacing w:after="0" w:line="360" w:lineRule="exact"/>
        <w:ind w:leftChars="0"/>
        <w:jc w:val="both"/>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因原件续期、更改等原因不能按时递交原件且未能在规定时间内提供相应部门开具的变更、续期等证明的；</w:t>
      </w:r>
    </w:p>
    <w:p>
      <w:pPr>
        <w:pageBreakBefore w:val="0"/>
        <w:widowControl w:val="0"/>
        <w:numPr>
          <w:ilvl w:val="0"/>
          <w:numId w:val="7"/>
        </w:numPr>
        <w:tabs>
          <w:tab w:val="left" w:pos="567"/>
          <w:tab w:val="left" w:pos="907"/>
        </w:tabs>
        <w:kinsoku/>
        <w:wordWrap/>
        <w:topLinePunct w:val="0"/>
        <w:autoSpaceDE/>
        <w:autoSpaceDN/>
        <w:bidi w:val="0"/>
        <w:adjustRightInd/>
        <w:snapToGrid/>
        <w:spacing w:after="0" w:line="264" w:lineRule="auto"/>
        <w:ind w:leftChars="0"/>
        <w:jc w:val="both"/>
        <w:textAlignment w:val="auto"/>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经查原件，投标文件内容有造假行为的。</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264" w:lineRule="auto"/>
        <w:ind w:left="794" w:leftChars="0" w:hanging="794" w:firstLineChars="0"/>
        <w:jc w:val="both"/>
        <w:textAlignment w:val="auto"/>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若投标人出现虚假应标情况，投标文件作无效处理，其投标、中标无效。并根据相关法律上报相关监管部门。</w:t>
      </w:r>
    </w:p>
    <w:p>
      <w:pPr>
        <w:pageBreakBefore w:val="0"/>
        <w:widowControl w:val="0"/>
        <w:numPr>
          <w:ilvl w:val="2"/>
          <w:numId w:val="2"/>
        </w:numPr>
        <w:tabs>
          <w:tab w:val="left" w:pos="567"/>
          <w:tab w:val="left" w:pos="907"/>
          <w:tab w:val="clear" w:pos="794"/>
        </w:tabs>
        <w:kinsoku/>
        <w:wordWrap/>
        <w:topLinePunct w:val="0"/>
        <w:autoSpaceDE/>
        <w:autoSpaceDN/>
        <w:bidi w:val="0"/>
        <w:adjustRightInd/>
        <w:snapToGrid/>
        <w:spacing w:after="0" w:line="264" w:lineRule="auto"/>
        <w:ind w:left="794" w:leftChars="0" w:hanging="794" w:firstLineChars="0"/>
        <w:jc w:val="both"/>
        <w:textAlignment w:val="auto"/>
        <w:rPr>
          <w:rFonts w:hint="eastAsia"/>
          <w:b w:val="0"/>
          <w:bCs w:val="0"/>
          <w:color w:val="auto"/>
          <w:lang w:eastAsia="zh-CN"/>
        </w:rPr>
      </w:pPr>
      <w:r>
        <w:rPr>
          <w:rFonts w:hint="eastAsia" w:ascii="宋体" w:hAnsi="宋体" w:eastAsia="宋体"/>
          <w:b w:val="0"/>
          <w:bCs w:val="0"/>
          <w:color w:val="auto"/>
          <w:sz w:val="21"/>
          <w:szCs w:val="21"/>
          <w:lang w:eastAsia="zh-CN"/>
        </w:rPr>
        <w:t>属于建办市函[2016]462号通知内的证件可不提供原件，仅提供带二维码原件的复印件即可。</w:t>
      </w:r>
    </w:p>
    <w:p>
      <w:pPr>
        <w:pageBreakBefore w:val="0"/>
        <w:kinsoku/>
        <w:wordWrap/>
        <w:topLinePunct w:val="0"/>
        <w:autoSpaceDE/>
        <w:autoSpaceDN/>
        <w:bidi w:val="0"/>
        <w:spacing w:line="264" w:lineRule="auto"/>
        <w:textAlignment w:val="auto"/>
        <w:rPr>
          <w:color w:val="auto"/>
        </w:rPr>
      </w:pPr>
    </w:p>
    <w:p>
      <w:pPr>
        <w:pStyle w:val="4"/>
        <w:pageBreakBefore w:val="0"/>
        <w:widowControl w:val="0"/>
        <w:kinsoku/>
        <w:wordWrap/>
        <w:overflowPunct w:val="0"/>
        <w:topLinePunct w:val="0"/>
        <w:autoSpaceDE/>
        <w:autoSpaceDN/>
        <w:bidi w:val="0"/>
        <w:spacing w:before="0" w:after="0" w:line="264" w:lineRule="auto"/>
        <w:textAlignment w:val="auto"/>
        <w:rPr>
          <w:rFonts w:ascii="宋体" w:hAnsi="宋体" w:eastAsia="宋体"/>
          <w:color w:val="auto"/>
          <w:sz w:val="21"/>
          <w:szCs w:val="21"/>
        </w:rPr>
      </w:pPr>
      <w:bookmarkStart w:id="71" w:name="_Toc22451"/>
      <w:r>
        <w:rPr>
          <w:rFonts w:hint="eastAsia" w:ascii="宋体" w:hAnsi="宋体" w:eastAsia="宋体"/>
          <w:color w:val="auto"/>
          <w:sz w:val="21"/>
          <w:szCs w:val="21"/>
        </w:rPr>
        <w:t>31.合同的签订与履行</w:t>
      </w:r>
      <w:bookmarkEnd w:id="71"/>
    </w:p>
    <w:p>
      <w:pPr>
        <w:pStyle w:val="24"/>
        <w:pageBreakBefore w:val="0"/>
        <w:widowControl w:val="0"/>
        <w:numPr>
          <w:ilvl w:val="0"/>
          <w:numId w:val="2"/>
        </w:numPr>
        <w:tabs>
          <w:tab w:val="left" w:pos="907"/>
        </w:tabs>
        <w:kinsoku/>
        <w:wordWrap/>
        <w:topLinePunct w:val="0"/>
        <w:autoSpaceDE/>
        <w:autoSpaceDN/>
        <w:bidi w:val="0"/>
        <w:adjustRightInd/>
        <w:snapToGrid/>
        <w:spacing w:after="0" w:line="264" w:lineRule="auto"/>
        <w:ind w:firstLineChars="0"/>
        <w:jc w:val="both"/>
        <w:textAlignment w:val="auto"/>
        <w:rPr>
          <w:rFonts w:ascii="宋体" w:hAnsi="宋体" w:eastAsia="宋体"/>
          <w:vanish/>
          <w:color w:val="auto"/>
          <w:sz w:val="21"/>
          <w:szCs w:val="21"/>
        </w:rPr>
      </w:pP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采购人应当自采购结果公示发出之日起30日内，按照招标文件和中标人投标文件的规定，与中标人签订书面合同。所签订的合同不得对招标文件确定的事项和中标人投标文件作实质性修改。</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采购人与中标人应当根据合同的约定依法履行合同义务。</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政府采购合同的履行、违约责任和解决争议的方法等适用《中华人民共和国合同法》。</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b/>
          <w:color w:val="auto"/>
          <w:sz w:val="21"/>
          <w:szCs w:val="21"/>
        </w:rPr>
      </w:pPr>
      <w:r>
        <w:rPr>
          <w:rFonts w:hint="eastAsia" w:ascii="宋体" w:hAnsi="宋体" w:eastAsia="宋体"/>
          <w:b/>
          <w:color w:val="auto"/>
          <w:sz w:val="21"/>
          <w:szCs w:val="21"/>
        </w:rPr>
        <w:t>合同签订之日起2个工作日内，中标人应将所签订的合同副本（加盖公章）交至三方诚信招标有限公司东莞分公司归档。</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rPr>
        <w:t>中标投标人在评审结束当天至合同履行结束，若因不可抗力的因素（如国家出台新法律法规等）造</w:t>
      </w:r>
      <w:r>
        <w:rPr>
          <w:rFonts w:hint="eastAsia" w:ascii="宋体" w:hAnsi="宋体" w:eastAsia="宋体"/>
          <w:color w:val="auto"/>
          <w:sz w:val="21"/>
          <w:szCs w:val="21"/>
          <w:lang w:eastAsia="zh-CN"/>
        </w:rPr>
        <w:t>成投标人资质的变动，投标人应以纸质版形式通知采购人。若资质变动导致中标投标人不再具备履行合同资质要求，采购人有权中止合同。</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中标人拒绝与采购人签订合同的，采购人可以按照评审报告推荐的中标候选人名单排序，确定下一候选人为中标人，也可以重新开展政府采购活动。</w:t>
      </w:r>
    </w:p>
    <w:p>
      <w:pPr>
        <w:pageBreakBefore w:val="0"/>
        <w:kinsoku/>
        <w:wordWrap/>
        <w:topLinePunct w:val="0"/>
        <w:autoSpaceDE/>
        <w:autoSpaceDN/>
        <w:bidi w:val="0"/>
        <w:spacing w:line="264" w:lineRule="auto"/>
        <w:textAlignment w:val="auto"/>
        <w:rPr>
          <w:color w:val="auto"/>
        </w:rPr>
      </w:pPr>
    </w:p>
    <w:p>
      <w:pPr>
        <w:pStyle w:val="4"/>
        <w:pageBreakBefore w:val="0"/>
        <w:widowControl w:val="0"/>
        <w:kinsoku/>
        <w:wordWrap/>
        <w:overflowPunct w:val="0"/>
        <w:topLinePunct w:val="0"/>
        <w:autoSpaceDE/>
        <w:autoSpaceDN/>
        <w:bidi w:val="0"/>
        <w:spacing w:before="0" w:after="0" w:line="264" w:lineRule="auto"/>
        <w:textAlignment w:val="auto"/>
        <w:rPr>
          <w:rFonts w:ascii="宋体" w:hAnsi="宋体" w:eastAsia="宋体"/>
          <w:color w:val="auto"/>
          <w:sz w:val="21"/>
          <w:szCs w:val="21"/>
        </w:rPr>
      </w:pPr>
      <w:bookmarkStart w:id="72" w:name="_Toc303084277"/>
      <w:bookmarkStart w:id="73" w:name="_Toc2744"/>
      <w:bookmarkStart w:id="74" w:name="_Toc29009"/>
      <w:bookmarkStart w:id="75" w:name="_Toc382049124"/>
      <w:r>
        <w:rPr>
          <w:rFonts w:hint="eastAsia" w:ascii="宋体" w:hAnsi="宋体" w:eastAsia="宋体"/>
          <w:color w:val="auto"/>
          <w:sz w:val="21"/>
          <w:szCs w:val="21"/>
        </w:rPr>
        <w:t>32.</w:t>
      </w:r>
      <w:r>
        <w:rPr>
          <w:rFonts w:ascii="宋体" w:hAnsi="宋体" w:eastAsia="宋体"/>
          <w:color w:val="auto"/>
          <w:sz w:val="21"/>
          <w:szCs w:val="21"/>
        </w:rPr>
        <w:t>履约</w:t>
      </w:r>
      <w:r>
        <w:rPr>
          <w:rFonts w:hint="eastAsia" w:ascii="宋体" w:hAnsi="宋体" w:eastAsia="宋体"/>
          <w:color w:val="auto"/>
          <w:sz w:val="21"/>
          <w:szCs w:val="21"/>
        </w:rPr>
        <w:t>保证金</w:t>
      </w:r>
      <w:bookmarkEnd w:id="72"/>
      <w:bookmarkEnd w:id="73"/>
      <w:bookmarkEnd w:id="74"/>
      <w:bookmarkEnd w:id="75"/>
    </w:p>
    <w:p>
      <w:pPr>
        <w:pStyle w:val="24"/>
        <w:pageBreakBefore w:val="0"/>
        <w:widowControl w:val="0"/>
        <w:numPr>
          <w:ilvl w:val="0"/>
          <w:numId w:val="2"/>
        </w:numPr>
        <w:tabs>
          <w:tab w:val="left" w:pos="907"/>
        </w:tabs>
        <w:kinsoku/>
        <w:wordWrap/>
        <w:topLinePunct w:val="0"/>
        <w:autoSpaceDE/>
        <w:autoSpaceDN/>
        <w:bidi w:val="0"/>
        <w:adjustRightInd/>
        <w:snapToGrid/>
        <w:spacing w:after="0" w:line="264" w:lineRule="auto"/>
        <w:ind w:firstLineChars="0"/>
        <w:jc w:val="both"/>
        <w:textAlignment w:val="auto"/>
        <w:rPr>
          <w:rFonts w:ascii="宋体" w:hAnsi="宋体" w:eastAsia="宋体"/>
          <w:vanish/>
          <w:color w:val="auto"/>
          <w:sz w:val="21"/>
          <w:szCs w:val="21"/>
        </w:rPr>
      </w:pP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中标人应在领取中标通知书之后签订合同之前递交履约保证金（履约保函的提交与履约保证金的提交时间一致）。给采购人造成的损失超过投标担保数额的，还应当由其对超过部分予以赔偿，并依法追究其责任。</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ascii="宋体" w:hAnsi="宋体" w:eastAsia="宋体"/>
          <w:color w:val="auto"/>
          <w:sz w:val="21"/>
          <w:szCs w:val="21"/>
        </w:rPr>
        <w:t>履约</w:t>
      </w:r>
      <w:r>
        <w:rPr>
          <w:rFonts w:hint="eastAsia" w:ascii="宋体" w:hAnsi="宋体" w:eastAsia="宋体"/>
          <w:color w:val="auto"/>
          <w:sz w:val="21"/>
          <w:szCs w:val="21"/>
        </w:rPr>
        <w:t>保证金</w:t>
      </w:r>
      <w:r>
        <w:rPr>
          <w:rFonts w:hint="eastAsia" w:ascii="宋体" w:hAnsi="宋体" w:eastAsia="宋体"/>
          <w:color w:val="auto"/>
          <w:sz w:val="21"/>
          <w:szCs w:val="21"/>
          <w:lang w:eastAsia="zh-CN"/>
        </w:rPr>
        <w:t>须</w:t>
      </w:r>
      <w:r>
        <w:rPr>
          <w:rFonts w:hint="eastAsia" w:ascii="宋体" w:hAnsi="宋体" w:eastAsia="宋体"/>
          <w:color w:val="auto"/>
          <w:sz w:val="21"/>
          <w:szCs w:val="21"/>
        </w:rPr>
        <w:t>采用履约保函方式：履约担保。是指由担保机构为供应商交纳履约保证金向采购人或采购代理机构提供的保证担保。供应商未按政府采购合同履行约定义务的，由担保机构按照担保函约定履行支付履约保证金的责任。（投标担保格式详见附件《政府采购投标担保函》）</w:t>
      </w:r>
    </w:p>
    <w:p>
      <w:pPr>
        <w:rPr>
          <w:color w:val="auto"/>
        </w:rPr>
      </w:pPr>
    </w:p>
    <w:p>
      <w:pPr>
        <w:pStyle w:val="3"/>
        <w:numPr>
          <w:ilvl w:val="0"/>
          <w:numId w:val="1"/>
        </w:numPr>
        <w:spacing w:before="0" w:after="0" w:line="480" w:lineRule="auto"/>
        <w:jc w:val="center"/>
        <w:rPr>
          <w:rFonts w:ascii="宋体" w:hAnsi="宋体" w:eastAsia="宋体"/>
          <w:color w:val="auto"/>
        </w:rPr>
      </w:pPr>
      <w:bookmarkStart w:id="76" w:name="_Toc13694"/>
      <w:r>
        <w:rPr>
          <w:rFonts w:hint="eastAsia" w:ascii="宋体" w:hAnsi="宋体" w:eastAsia="宋体"/>
          <w:color w:val="auto"/>
        </w:rPr>
        <w:t>询问或质疑</w:t>
      </w:r>
      <w:bookmarkEnd w:id="76"/>
    </w:p>
    <w:p>
      <w:pPr>
        <w:pStyle w:val="4"/>
        <w:pageBreakBefore w:val="0"/>
        <w:widowControl w:val="0"/>
        <w:kinsoku/>
        <w:wordWrap/>
        <w:overflowPunct w:val="0"/>
        <w:topLinePunct w:val="0"/>
        <w:autoSpaceDE/>
        <w:autoSpaceDN/>
        <w:bidi w:val="0"/>
        <w:spacing w:before="0" w:after="0" w:line="264" w:lineRule="auto"/>
        <w:textAlignment w:val="auto"/>
        <w:rPr>
          <w:rFonts w:ascii="宋体" w:hAnsi="宋体" w:eastAsia="宋体"/>
          <w:color w:val="auto"/>
          <w:sz w:val="21"/>
          <w:szCs w:val="21"/>
        </w:rPr>
      </w:pPr>
      <w:bookmarkStart w:id="77" w:name="_Toc25498"/>
      <w:r>
        <w:rPr>
          <w:rFonts w:hint="eastAsia" w:ascii="宋体" w:hAnsi="宋体" w:eastAsia="宋体"/>
          <w:color w:val="auto"/>
          <w:sz w:val="21"/>
          <w:szCs w:val="21"/>
        </w:rPr>
        <w:t>33.询问</w:t>
      </w:r>
      <w:bookmarkEnd w:id="77"/>
    </w:p>
    <w:p>
      <w:pPr>
        <w:pStyle w:val="24"/>
        <w:pageBreakBefore w:val="0"/>
        <w:widowControl w:val="0"/>
        <w:numPr>
          <w:ilvl w:val="0"/>
          <w:numId w:val="2"/>
        </w:numPr>
        <w:tabs>
          <w:tab w:val="left" w:pos="907"/>
        </w:tabs>
        <w:kinsoku/>
        <w:wordWrap/>
        <w:topLinePunct w:val="0"/>
        <w:autoSpaceDE/>
        <w:autoSpaceDN/>
        <w:bidi w:val="0"/>
        <w:adjustRightInd/>
        <w:snapToGrid/>
        <w:spacing w:after="0" w:line="264" w:lineRule="auto"/>
        <w:ind w:firstLineChars="0"/>
        <w:jc w:val="both"/>
        <w:textAlignment w:val="auto"/>
        <w:rPr>
          <w:rFonts w:ascii="宋体" w:hAnsi="宋体" w:eastAsia="宋体"/>
          <w:vanish/>
          <w:color w:val="auto"/>
          <w:sz w:val="21"/>
          <w:szCs w:val="21"/>
        </w:rPr>
      </w:pP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投标人对政府采购活动事项（招标文件、采购过程和采购结果）有疑问的，可以按规定向采购代理机构提出询问。</w:t>
      </w:r>
    </w:p>
    <w:p>
      <w:pPr>
        <w:pageBreakBefore w:val="0"/>
        <w:widowControl w:val="0"/>
        <w:tabs>
          <w:tab w:val="left" w:pos="907"/>
        </w:tabs>
        <w:kinsoku/>
        <w:wordWrap/>
        <w:topLinePunct w:val="0"/>
        <w:autoSpaceDE/>
        <w:autoSpaceDN/>
        <w:bidi w:val="0"/>
        <w:adjustRightInd/>
        <w:snapToGrid/>
        <w:spacing w:after="0" w:line="264" w:lineRule="auto"/>
        <w:ind w:left="567"/>
        <w:jc w:val="both"/>
        <w:textAlignment w:val="auto"/>
        <w:rPr>
          <w:rFonts w:ascii="宋体" w:hAnsi="宋体" w:eastAsia="宋体"/>
          <w:color w:val="auto"/>
          <w:sz w:val="21"/>
          <w:szCs w:val="21"/>
        </w:rPr>
      </w:pPr>
    </w:p>
    <w:p>
      <w:pPr>
        <w:pStyle w:val="4"/>
        <w:pageBreakBefore w:val="0"/>
        <w:widowControl w:val="0"/>
        <w:kinsoku/>
        <w:wordWrap/>
        <w:overflowPunct w:val="0"/>
        <w:topLinePunct w:val="0"/>
        <w:autoSpaceDE/>
        <w:autoSpaceDN/>
        <w:bidi w:val="0"/>
        <w:spacing w:before="0" w:after="0" w:line="264" w:lineRule="auto"/>
        <w:textAlignment w:val="auto"/>
        <w:rPr>
          <w:rFonts w:ascii="宋体" w:hAnsi="宋体" w:eastAsia="宋体"/>
          <w:color w:val="auto"/>
          <w:sz w:val="21"/>
          <w:szCs w:val="21"/>
        </w:rPr>
      </w:pPr>
      <w:bookmarkStart w:id="78" w:name="_Toc8234"/>
      <w:r>
        <w:rPr>
          <w:rFonts w:hint="eastAsia" w:ascii="宋体" w:hAnsi="宋体" w:eastAsia="宋体"/>
          <w:color w:val="auto"/>
          <w:sz w:val="21"/>
          <w:szCs w:val="21"/>
        </w:rPr>
        <w:t>34.质疑</w:t>
      </w:r>
      <w:bookmarkEnd w:id="78"/>
    </w:p>
    <w:p>
      <w:pPr>
        <w:pStyle w:val="24"/>
        <w:pageBreakBefore w:val="0"/>
        <w:widowControl w:val="0"/>
        <w:numPr>
          <w:ilvl w:val="0"/>
          <w:numId w:val="2"/>
        </w:numPr>
        <w:tabs>
          <w:tab w:val="left" w:pos="907"/>
        </w:tabs>
        <w:kinsoku/>
        <w:wordWrap/>
        <w:topLinePunct w:val="0"/>
        <w:autoSpaceDE/>
        <w:autoSpaceDN/>
        <w:bidi w:val="0"/>
        <w:adjustRightInd/>
        <w:snapToGrid/>
        <w:spacing w:after="0" w:line="264" w:lineRule="auto"/>
        <w:ind w:firstLineChars="0"/>
        <w:jc w:val="both"/>
        <w:textAlignment w:val="auto"/>
        <w:rPr>
          <w:rFonts w:ascii="宋体" w:hAnsi="宋体" w:eastAsia="宋体"/>
          <w:vanish/>
          <w:color w:val="auto"/>
          <w:sz w:val="21"/>
          <w:szCs w:val="21"/>
        </w:rPr>
      </w:pP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提出质疑的投标人应当是参与所质疑项目采购活动的供应商或是在规定的时间内已依法获取其可质疑的招标文件的潜在供应商。</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供应商认为招标文件、采购过程、中标或者成交结果使自己的权益受到损害的，可以在知道或者应知其权益受到损害之日起7个工作日内，以书面形式向采购人、采购代理机构提出质疑。超过规定时间提交的质疑函不予受理。</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投标人在法定质疑期内须一次性提出针对同一采购程序环节的质疑，对同一采购程序环节的二次质疑采购代理机构不予受理。</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标人应将招标文件所规定的纸质版形式（质疑须提交以下资料并加盖投标人公章：质疑函原件、营业执照复印件、法人身份证复印件、联系方式及法人授权委托书原件加盖公章；若质疑由法人提交，则将提供法人授权委托书原件加盖公章更换为提供法人身份证复印件加盖公章且签字）的质疑按法律规定提交至采购代理机构指定办公地点</w:t>
      </w:r>
      <w:r>
        <w:rPr>
          <w:rFonts w:hint="eastAsia" w:ascii="宋体" w:hAnsi="宋体" w:eastAsia="宋体"/>
          <w:color w:val="auto"/>
          <w:sz w:val="21"/>
          <w:szCs w:val="21"/>
          <w:lang w:eastAsia="zh-CN"/>
        </w:rPr>
        <w:t>（递交地点、联系人详见投标邀请书）</w:t>
      </w:r>
      <w:r>
        <w:rPr>
          <w:rFonts w:hint="eastAsia" w:ascii="宋体" w:hAnsi="宋体" w:eastAsia="宋体"/>
          <w:color w:val="auto"/>
          <w:sz w:val="21"/>
          <w:szCs w:val="21"/>
        </w:rPr>
        <w:t>。投标人以电话、传真或电邮形式提交的质疑属于无效质疑。</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授权委托书应当载明代理人的姓名或者名称、代理事项、具体权限、期限和相关事项。</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投标人提出质疑应当提交质疑函和必要的证明材料（须注明法律依据），因缺少相关证明材料或证明材料存在不真实而导致的后果由投标人自行承担。</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不涉及对投标人利益造成损害的相关内容，不能作为质疑内容提交。</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color w:val="auto"/>
          <w:sz w:val="21"/>
          <w:szCs w:val="21"/>
        </w:rPr>
      </w:pPr>
      <w:r>
        <w:rPr>
          <w:rFonts w:hint="eastAsia" w:ascii="宋体" w:hAnsi="宋体" w:eastAsia="宋体"/>
          <w:color w:val="auto"/>
          <w:sz w:val="21"/>
          <w:szCs w:val="21"/>
        </w:rPr>
        <w:t>投诉人在全国范围12个月内三次以上投诉查无实据的，由财政部门列入不良行为记录名单。</w:t>
      </w:r>
    </w:p>
    <w:p>
      <w:pPr>
        <w:pageBreakBefore w:val="0"/>
        <w:widowControl w:val="0"/>
        <w:numPr>
          <w:ilvl w:val="1"/>
          <w:numId w:val="2"/>
        </w:numPr>
        <w:tabs>
          <w:tab w:val="left" w:pos="907"/>
        </w:tabs>
        <w:kinsoku/>
        <w:wordWrap/>
        <w:topLinePunct w:val="0"/>
        <w:autoSpaceDE/>
        <w:autoSpaceDN/>
        <w:bidi w:val="0"/>
        <w:adjustRightInd/>
        <w:snapToGrid/>
        <w:spacing w:after="0" w:line="264" w:lineRule="auto"/>
        <w:jc w:val="both"/>
        <w:textAlignment w:val="auto"/>
        <w:rPr>
          <w:rFonts w:ascii="宋体" w:hAnsi="宋体" w:eastAsia="宋体"/>
          <w:b/>
          <w:bCs/>
          <w:color w:val="auto"/>
          <w:sz w:val="21"/>
          <w:szCs w:val="21"/>
        </w:rPr>
      </w:pPr>
      <w:r>
        <w:rPr>
          <w:rFonts w:hint="eastAsia" w:ascii="宋体" w:hAnsi="宋体" w:eastAsia="宋体"/>
          <w:b/>
          <w:bCs/>
          <w:color w:val="auto"/>
          <w:sz w:val="21"/>
          <w:szCs w:val="21"/>
        </w:rPr>
        <w:t>投诉人有下列行为之一的，属于虚假、恶意投诉，由财政部门列入不良行为记录名单，禁止其1至3年内参加</w:t>
      </w:r>
      <w:r>
        <w:rPr>
          <w:rFonts w:hint="eastAsia" w:ascii="宋体" w:hAnsi="宋体" w:eastAsia="宋体"/>
          <w:b/>
          <w:bCs/>
          <w:color w:val="auto"/>
          <w:sz w:val="21"/>
          <w:szCs w:val="21"/>
          <w:lang w:eastAsia="zh-CN"/>
        </w:rPr>
        <w:t>全国范围内的</w:t>
      </w:r>
      <w:r>
        <w:rPr>
          <w:rFonts w:hint="eastAsia" w:ascii="宋体" w:hAnsi="宋体" w:eastAsia="宋体"/>
          <w:b/>
          <w:bCs/>
          <w:color w:val="auto"/>
          <w:sz w:val="21"/>
          <w:szCs w:val="21"/>
        </w:rPr>
        <w:t>政府采购活动：</w:t>
      </w:r>
    </w:p>
    <w:p>
      <w:pPr>
        <w:pageBreakBefore w:val="0"/>
        <w:widowControl w:val="0"/>
        <w:tabs>
          <w:tab w:val="left" w:pos="907"/>
        </w:tabs>
        <w:kinsoku/>
        <w:wordWrap/>
        <w:topLinePunct w:val="0"/>
        <w:autoSpaceDE/>
        <w:autoSpaceDN/>
        <w:bidi w:val="0"/>
        <w:adjustRightInd/>
        <w:snapToGrid/>
        <w:spacing w:after="0" w:line="264" w:lineRule="auto"/>
        <w:ind w:left="567"/>
        <w:jc w:val="both"/>
        <w:textAlignment w:val="auto"/>
        <w:rPr>
          <w:rFonts w:ascii="宋体" w:hAnsi="宋体" w:eastAsia="宋体"/>
          <w:b/>
          <w:bCs/>
          <w:color w:val="auto"/>
          <w:sz w:val="21"/>
          <w:szCs w:val="21"/>
        </w:rPr>
      </w:pPr>
      <w:r>
        <w:rPr>
          <w:rFonts w:hint="eastAsia" w:ascii="宋体" w:hAnsi="宋体" w:eastAsia="宋体"/>
          <w:b/>
          <w:bCs/>
          <w:color w:val="auto"/>
          <w:sz w:val="21"/>
          <w:szCs w:val="21"/>
        </w:rPr>
        <w:t>（一）捏造事实;</w:t>
      </w:r>
    </w:p>
    <w:p>
      <w:pPr>
        <w:pageBreakBefore w:val="0"/>
        <w:widowControl w:val="0"/>
        <w:tabs>
          <w:tab w:val="left" w:pos="907"/>
        </w:tabs>
        <w:kinsoku/>
        <w:wordWrap/>
        <w:topLinePunct w:val="0"/>
        <w:autoSpaceDE/>
        <w:autoSpaceDN/>
        <w:bidi w:val="0"/>
        <w:adjustRightInd/>
        <w:snapToGrid/>
        <w:spacing w:after="0" w:line="264" w:lineRule="auto"/>
        <w:ind w:left="567"/>
        <w:jc w:val="both"/>
        <w:textAlignment w:val="auto"/>
        <w:rPr>
          <w:rFonts w:ascii="宋体" w:hAnsi="宋体" w:eastAsia="宋体"/>
          <w:b/>
          <w:bCs/>
          <w:color w:val="auto"/>
          <w:sz w:val="21"/>
          <w:szCs w:val="21"/>
        </w:rPr>
      </w:pPr>
      <w:r>
        <w:rPr>
          <w:rFonts w:hint="eastAsia" w:ascii="宋体" w:hAnsi="宋体" w:eastAsia="宋体"/>
          <w:b/>
          <w:bCs/>
          <w:color w:val="auto"/>
          <w:sz w:val="21"/>
          <w:szCs w:val="21"/>
        </w:rPr>
        <w:t>（二）提供虚假材料;</w:t>
      </w:r>
    </w:p>
    <w:p>
      <w:pPr>
        <w:pageBreakBefore w:val="0"/>
        <w:widowControl w:val="0"/>
        <w:tabs>
          <w:tab w:val="left" w:pos="907"/>
        </w:tabs>
        <w:kinsoku/>
        <w:wordWrap/>
        <w:topLinePunct w:val="0"/>
        <w:autoSpaceDE/>
        <w:autoSpaceDN/>
        <w:bidi w:val="0"/>
        <w:adjustRightInd/>
        <w:snapToGrid/>
        <w:spacing w:after="0" w:line="264" w:lineRule="auto"/>
        <w:ind w:left="567"/>
        <w:jc w:val="both"/>
        <w:textAlignment w:val="auto"/>
        <w:rPr>
          <w:rFonts w:ascii="宋体" w:hAnsi="宋体" w:eastAsia="宋体"/>
          <w:b/>
          <w:bCs/>
          <w:color w:val="auto"/>
          <w:sz w:val="21"/>
          <w:szCs w:val="21"/>
        </w:rPr>
      </w:pPr>
      <w:r>
        <w:rPr>
          <w:rFonts w:hint="eastAsia" w:ascii="宋体" w:hAnsi="宋体" w:eastAsia="宋体"/>
          <w:b/>
          <w:bCs/>
          <w:color w:val="auto"/>
          <w:sz w:val="21"/>
          <w:szCs w:val="21"/>
        </w:rPr>
        <w:t>（三）以非法手段取得证明材料。证据来源的合法性存在明显疑问，投诉人无法证明其取得方式合法的，视为以非法手段取得证明材料。</w:t>
      </w:r>
    </w:p>
    <w:p>
      <w:pPr>
        <w:rPr>
          <w:rFonts w:ascii="宋体" w:hAnsi="宋体" w:eastAsia="宋体"/>
          <w:color w:val="auto"/>
          <w:sz w:val="21"/>
          <w:szCs w:val="21"/>
        </w:rPr>
      </w:pPr>
      <w:r>
        <w:rPr>
          <w:rFonts w:hint="eastAsia" w:ascii="宋体" w:hAnsi="宋体" w:eastAsia="宋体"/>
          <w:color w:val="auto"/>
          <w:sz w:val="21"/>
          <w:szCs w:val="21"/>
        </w:rPr>
        <w:br w:type="page"/>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以联合体形式参加政府采购活动的，其质疑应当由组成联合体的所有投标人共同提出。</w:t>
      </w:r>
    </w:p>
    <w:p>
      <w:pPr>
        <w:rPr>
          <w:color w:val="auto"/>
        </w:rPr>
      </w:pPr>
    </w:p>
    <w:p>
      <w:pPr>
        <w:pStyle w:val="3"/>
        <w:numPr>
          <w:ilvl w:val="0"/>
          <w:numId w:val="1"/>
        </w:numPr>
        <w:spacing w:before="0" w:after="0" w:line="480" w:lineRule="auto"/>
        <w:jc w:val="center"/>
        <w:rPr>
          <w:rFonts w:ascii="宋体" w:hAnsi="宋体" w:eastAsia="宋体"/>
          <w:color w:val="auto"/>
        </w:rPr>
      </w:pPr>
      <w:bookmarkStart w:id="79" w:name="_Toc24383"/>
      <w:r>
        <w:rPr>
          <w:rFonts w:hint="eastAsia" w:ascii="宋体" w:hAnsi="宋体" w:eastAsia="宋体"/>
          <w:color w:val="auto"/>
        </w:rPr>
        <w:t>其他</w:t>
      </w:r>
      <w:bookmarkEnd w:id="79"/>
    </w:p>
    <w:p>
      <w:pPr>
        <w:pStyle w:val="4"/>
        <w:widowControl w:val="0"/>
        <w:overflowPunct w:val="0"/>
        <w:spacing w:before="0" w:after="0" w:line="240" w:lineRule="auto"/>
        <w:rPr>
          <w:rFonts w:ascii="宋体" w:hAnsi="宋体" w:eastAsia="宋体"/>
          <w:color w:val="auto"/>
          <w:sz w:val="21"/>
          <w:szCs w:val="21"/>
        </w:rPr>
      </w:pPr>
      <w:bookmarkStart w:id="80" w:name="_Toc10082"/>
      <w:r>
        <w:rPr>
          <w:rFonts w:hint="eastAsia" w:ascii="宋体" w:hAnsi="宋体" w:eastAsia="宋体"/>
          <w:color w:val="auto"/>
          <w:sz w:val="21"/>
          <w:szCs w:val="21"/>
        </w:rPr>
        <w:t>35.招标文件的解释权</w:t>
      </w:r>
      <w:bookmarkEnd w:id="80"/>
    </w:p>
    <w:p>
      <w:pPr>
        <w:pStyle w:val="24"/>
        <w:widowControl w:val="0"/>
        <w:numPr>
          <w:ilvl w:val="0"/>
          <w:numId w:val="2"/>
        </w:numPr>
        <w:tabs>
          <w:tab w:val="left" w:pos="907"/>
        </w:tabs>
        <w:adjustRightInd/>
        <w:snapToGrid/>
        <w:spacing w:after="0" w:line="360" w:lineRule="exact"/>
        <w:ind w:firstLineChars="0"/>
        <w:jc w:val="both"/>
        <w:rPr>
          <w:rFonts w:ascii="宋体" w:hAnsi="宋体" w:eastAsia="宋体"/>
          <w:vanish/>
          <w:color w:val="auto"/>
          <w:sz w:val="21"/>
          <w:szCs w:val="21"/>
        </w:rPr>
      </w:pP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招标文件版本号：三方诚信</w:t>
      </w:r>
      <w:r>
        <w:rPr>
          <w:rFonts w:hint="eastAsia" w:ascii="宋体" w:hAnsi="宋体" w:eastAsia="宋体"/>
          <w:color w:val="auto"/>
          <w:sz w:val="21"/>
          <w:szCs w:val="21"/>
          <w:lang w:eastAsia="zh-CN"/>
        </w:rPr>
        <w:t>2020</w:t>
      </w:r>
      <w:r>
        <w:rPr>
          <w:rFonts w:hint="eastAsia" w:ascii="宋体" w:hAnsi="宋体" w:eastAsia="宋体"/>
          <w:color w:val="auto"/>
          <w:sz w:val="21"/>
          <w:szCs w:val="21"/>
          <w:lang w:val="en-US" w:eastAsia="zh-CN"/>
        </w:rPr>
        <w:t>0319</w:t>
      </w:r>
      <w:r>
        <w:rPr>
          <w:rFonts w:hint="eastAsia" w:ascii="宋体" w:hAnsi="宋体" w:eastAsia="宋体"/>
          <w:color w:val="auto"/>
          <w:sz w:val="21"/>
          <w:szCs w:val="21"/>
        </w:rPr>
        <w:t>。</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t>本招标文件是根据国家有关法律、法规以及政府采购管理有关规定和参照国际惯例编制，解释权属本采购代理机构。</w:t>
      </w:r>
    </w:p>
    <w:p>
      <w:pPr>
        <w:widowControl w:val="0"/>
        <w:numPr>
          <w:ilvl w:val="1"/>
          <w:numId w:val="2"/>
        </w:numPr>
        <w:tabs>
          <w:tab w:val="left" w:pos="907"/>
        </w:tabs>
        <w:adjustRightInd/>
        <w:snapToGrid/>
        <w:spacing w:after="0" w:line="360" w:lineRule="exact"/>
        <w:jc w:val="both"/>
        <w:rPr>
          <w:rFonts w:ascii="宋体" w:hAnsi="宋体" w:eastAsia="宋体"/>
          <w:color w:val="auto"/>
          <w:sz w:val="21"/>
          <w:szCs w:val="21"/>
        </w:rPr>
      </w:pPr>
      <w:r>
        <w:rPr>
          <w:rFonts w:hint="eastAsia" w:ascii="宋体" w:hAnsi="宋体" w:eastAsia="宋体"/>
          <w:color w:val="auto"/>
          <w:sz w:val="21"/>
          <w:szCs w:val="21"/>
        </w:rPr>
        <w:br w:type="page"/>
      </w:r>
    </w:p>
    <w:p>
      <w:pPr>
        <w:pStyle w:val="2"/>
        <w:spacing w:before="0" w:after="0" w:line="240" w:lineRule="auto"/>
        <w:rPr>
          <w:color w:val="auto"/>
          <w:sz w:val="28"/>
          <w:szCs w:val="28"/>
        </w:rPr>
      </w:pPr>
      <w:bookmarkStart w:id="81" w:name="_Toc21448"/>
      <w:r>
        <w:rPr>
          <w:rFonts w:hint="eastAsia"/>
          <w:color w:val="auto"/>
          <w:sz w:val="28"/>
          <w:szCs w:val="28"/>
        </w:rPr>
        <w:t>第五部分 合同格式（仅供参考）</w:t>
      </w:r>
      <w:bookmarkEnd w:id="81"/>
      <w:bookmarkStart w:id="82" w:name="_Toc13430"/>
      <w:bookmarkStart w:id="83" w:name="_Toc1534"/>
      <w:bookmarkStart w:id="84" w:name="_Toc21155"/>
    </w:p>
    <w:p>
      <w:pPr>
        <w:pStyle w:val="3"/>
        <w:spacing w:before="0" w:after="0" w:line="240" w:lineRule="auto"/>
        <w:jc w:val="center"/>
        <w:rPr>
          <w:rFonts w:ascii="宋体" w:hAnsi="宋体" w:eastAsia="宋体" w:cs="宋体"/>
          <w:color w:val="auto"/>
        </w:rPr>
      </w:pPr>
      <w:bookmarkStart w:id="85" w:name="_Toc16730"/>
      <w:r>
        <w:rPr>
          <w:rFonts w:hint="eastAsia" w:ascii="宋体" w:hAnsi="宋体" w:eastAsia="宋体" w:cs="宋体"/>
          <w:color w:val="auto"/>
        </w:rPr>
        <w:t>合同格式</w:t>
      </w:r>
      <w:bookmarkEnd w:id="82"/>
      <w:bookmarkEnd w:id="83"/>
      <w:bookmarkEnd w:id="84"/>
      <w:bookmarkEnd w:id="85"/>
    </w:p>
    <w:p>
      <w:pPr>
        <w:spacing w:line="420" w:lineRule="atLeast"/>
        <w:ind w:right="560"/>
        <w:rPr>
          <w:rFonts w:ascii="宋体" w:hAnsi="宋体" w:eastAsia="宋体"/>
          <w:color w:val="auto"/>
          <w:sz w:val="21"/>
          <w:szCs w:val="21"/>
        </w:rPr>
      </w:pPr>
      <w:r>
        <w:rPr>
          <w:rFonts w:hint="eastAsia" w:ascii="宋体" w:hAnsi="宋体" w:eastAsia="宋体"/>
          <w:color w:val="auto"/>
          <w:sz w:val="21"/>
          <w:szCs w:val="21"/>
        </w:rPr>
        <w:t>合同编号：</w:t>
      </w:r>
    </w:p>
    <w:p>
      <w:pPr>
        <w:spacing w:line="420" w:lineRule="atLeast"/>
        <w:rPr>
          <w:rFonts w:ascii="宋体" w:hAnsi="宋体" w:eastAsia="宋体"/>
          <w:color w:val="auto"/>
          <w:sz w:val="21"/>
          <w:szCs w:val="21"/>
        </w:rPr>
      </w:pPr>
      <w:r>
        <w:rPr>
          <w:rFonts w:hint="eastAsia" w:ascii="宋体" w:hAnsi="宋体" w:eastAsia="宋体"/>
          <w:color w:val="auto"/>
          <w:sz w:val="21"/>
          <w:szCs w:val="21"/>
        </w:rPr>
        <w:t>甲方：</w:t>
      </w:r>
    </w:p>
    <w:p>
      <w:pPr>
        <w:spacing w:line="420" w:lineRule="atLeast"/>
        <w:rPr>
          <w:rFonts w:ascii="宋体" w:hAnsi="宋体" w:eastAsia="宋体"/>
          <w:color w:val="auto"/>
          <w:sz w:val="21"/>
          <w:szCs w:val="21"/>
        </w:rPr>
      </w:pPr>
      <w:r>
        <w:rPr>
          <w:rFonts w:hint="eastAsia" w:ascii="宋体" w:hAnsi="宋体" w:eastAsia="宋体"/>
          <w:color w:val="auto"/>
          <w:sz w:val="21"/>
          <w:szCs w:val="21"/>
        </w:rPr>
        <w:t xml:space="preserve">乙方：“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受甲方委托，</w:t>
      </w:r>
      <w:r>
        <w:rPr>
          <w:rFonts w:hint="eastAsia" w:ascii="宋体" w:hAnsi="宋体" w:eastAsia="宋体"/>
          <w:color w:val="auto"/>
          <w:sz w:val="21"/>
          <w:szCs w:val="21"/>
          <w:u w:val="single"/>
        </w:rPr>
        <w:t xml:space="preserve">           (采购代理机构)</w:t>
      </w:r>
      <w:r>
        <w:rPr>
          <w:rFonts w:hint="eastAsia" w:ascii="宋体" w:hAnsi="宋体" w:eastAsia="宋体"/>
          <w:color w:val="auto"/>
          <w:sz w:val="21"/>
          <w:szCs w:val="21"/>
        </w:rPr>
        <w:t>组织对</w:t>
      </w:r>
      <w:r>
        <w:rPr>
          <w:rFonts w:hint="eastAsia" w:ascii="宋体" w:hAnsi="宋体" w:eastAsia="宋体"/>
          <w:color w:val="auto"/>
          <w:sz w:val="21"/>
          <w:szCs w:val="21"/>
          <w:u w:val="single"/>
        </w:rPr>
        <w:t xml:space="preserve">         （项目名称）</w:t>
      </w:r>
      <w:r>
        <w:rPr>
          <w:rFonts w:hint="eastAsia" w:ascii="宋体" w:hAnsi="宋体" w:eastAsia="宋体"/>
          <w:color w:val="auto"/>
          <w:sz w:val="21"/>
          <w:szCs w:val="21"/>
        </w:rPr>
        <w:t>采购项目（采购项目编号为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）进行采购，于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日通过公开招标，经评标委员会评定乙方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为中标单位。为了保护甲、乙双方合法权益，根据《中华人民共和国政府采购法》及其实施条例、《中华人民共和国</w:t>
      </w:r>
      <w:r>
        <w:rPr>
          <w:color w:val="auto"/>
        </w:rPr>
        <w:fldChar w:fldCharType="begin"/>
      </w:r>
      <w:r>
        <w:rPr>
          <w:color w:val="auto"/>
        </w:rPr>
        <w:instrText xml:space="preserve"> HYPERLINK "http://www.chinalawedu.com/web/23251/" \t "_blank" \o "合同法" </w:instrText>
      </w:r>
      <w:r>
        <w:rPr>
          <w:color w:val="auto"/>
        </w:rPr>
        <w:fldChar w:fldCharType="separate"/>
      </w:r>
      <w:r>
        <w:rPr>
          <w:rFonts w:hint="eastAsia" w:ascii="宋体" w:hAnsi="宋体" w:eastAsia="宋体"/>
          <w:color w:val="auto"/>
          <w:sz w:val="21"/>
          <w:szCs w:val="21"/>
        </w:rPr>
        <w:t>合同法</w:t>
      </w:r>
      <w:r>
        <w:rPr>
          <w:rFonts w:hint="eastAsia" w:ascii="宋体" w:hAnsi="宋体" w:eastAsia="宋体"/>
          <w:color w:val="auto"/>
          <w:sz w:val="21"/>
          <w:szCs w:val="21"/>
        </w:rPr>
        <w:fldChar w:fldCharType="end"/>
      </w:r>
      <w:r>
        <w:rPr>
          <w:rFonts w:hint="eastAsia" w:ascii="宋体" w:hAnsi="宋体" w:eastAsia="宋体"/>
          <w:color w:val="auto"/>
          <w:sz w:val="21"/>
          <w:szCs w:val="21"/>
        </w:rPr>
        <w:t>》，在平等自愿的基础上，按照下面的条款和条件，签署本合同。</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第一条 合同项目</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1、项目名称：                              ；</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2、采购项目编号：                   。</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第二条 合同组成</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1、合同文件组成内容包括：本合同书 、中标通知书、投标文件（含澄清内容）、招标文件（含招标文件澄清通知）等。</w:t>
      </w:r>
    </w:p>
    <w:p>
      <w:pPr>
        <w:spacing w:after="0" w:line="360" w:lineRule="auto"/>
        <w:ind w:firstLine="422" w:firstLineChars="200"/>
        <w:rPr>
          <w:rFonts w:ascii="宋体" w:hAnsi="宋体" w:eastAsia="宋体"/>
          <w:b/>
          <w:color w:val="auto"/>
          <w:sz w:val="21"/>
          <w:szCs w:val="21"/>
        </w:rPr>
      </w:pPr>
      <w:bookmarkStart w:id="86" w:name="_Toc86481558"/>
      <w:r>
        <w:rPr>
          <w:rFonts w:hint="eastAsia" w:ascii="宋体" w:hAnsi="宋体" w:eastAsia="宋体"/>
          <w:b/>
          <w:color w:val="auto"/>
          <w:sz w:val="21"/>
          <w:szCs w:val="21"/>
        </w:rPr>
        <w:t>第三条 服务内容、标准及要求</w:t>
      </w:r>
    </w:p>
    <w:p>
      <w:pPr>
        <w:spacing w:after="0" w:line="360" w:lineRule="auto"/>
        <w:rPr>
          <w:rFonts w:ascii="宋体" w:hAnsi="宋体" w:eastAsia="宋体" w:cs="仿宋"/>
          <w:color w:val="auto"/>
          <w:sz w:val="21"/>
          <w:szCs w:val="21"/>
          <w:u w:val="single"/>
          <w:shd w:val="clear" w:color="auto" w:fill="FFFFFF"/>
        </w:rPr>
      </w:pPr>
      <w:r>
        <w:rPr>
          <w:rFonts w:hint="eastAsia" w:ascii="宋体" w:hAnsi="宋体" w:eastAsia="宋体" w:cs="仿宋"/>
          <w:color w:val="auto"/>
          <w:sz w:val="21"/>
          <w:szCs w:val="21"/>
          <w:shd w:val="clear" w:color="auto" w:fill="FFFFFF"/>
        </w:rPr>
        <w:t>1、采购内容：</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2、采购标准：</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3、采购要求：</w:t>
      </w:r>
      <w:r>
        <w:rPr>
          <w:rFonts w:hint="eastAsia" w:ascii="宋体" w:hAnsi="宋体" w:eastAsia="宋体" w:cs="仿宋"/>
          <w:color w:val="auto"/>
          <w:sz w:val="21"/>
          <w:szCs w:val="21"/>
          <w:u w:val="single"/>
          <w:shd w:val="clear" w:color="auto" w:fill="FFFFFF"/>
        </w:rPr>
        <w:t xml:space="preserve">                                                              。</w:t>
      </w:r>
    </w:p>
    <w:p>
      <w:pPr>
        <w:spacing w:after="0" w:line="360" w:lineRule="auto"/>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4、具体采购内容采购标准及要求以招标文件用户需求书及乙方投标文件承诺条款及方案为准。</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第四条 价格</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仿宋"/>
          <w:color w:val="auto"/>
          <w:sz w:val="21"/>
          <w:szCs w:val="21"/>
          <w:shd w:val="clear" w:color="auto" w:fill="FFFFFF"/>
        </w:rPr>
        <w:t>1、合同总价包含：人工费、材料费、设备使用费、各种税费、保险费及合同实施过程中的不可预见费用等全部费用，按本次招标范围及中标价一次包干，结算时不作调整。</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 xml:space="preserve">2、合同总价：（人民币）大写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3、本合同价为固定不变价。</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第五条 服务期限及地点</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1、服务期：  年，合同生效之日自       年  月  日至     年  月  日止。</w:t>
      </w:r>
    </w:p>
    <w:p>
      <w:pPr>
        <w:spacing w:after="0" w:line="360" w:lineRule="auto"/>
        <w:ind w:firstLine="495" w:firstLineChars="236"/>
        <w:rPr>
          <w:rFonts w:ascii="宋体" w:hAnsi="宋体" w:eastAsia="宋体"/>
          <w:color w:val="auto"/>
          <w:sz w:val="21"/>
          <w:szCs w:val="21"/>
        </w:rPr>
      </w:pPr>
      <w:r>
        <w:rPr>
          <w:rFonts w:hint="eastAsia" w:ascii="宋体" w:hAnsi="宋体" w:eastAsia="宋体"/>
          <w:color w:val="auto"/>
          <w:sz w:val="21"/>
          <w:szCs w:val="21"/>
        </w:rPr>
        <w:t>2、服务地点：              或甲方指定地点。</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第六条 付款方式</w:t>
      </w:r>
    </w:p>
    <w:p>
      <w:pPr>
        <w:pStyle w:val="15"/>
        <w:spacing w:line="360" w:lineRule="auto"/>
        <w:ind w:firstLine="420" w:firstLineChars="200"/>
        <w:rPr>
          <w:rFonts w:ascii="宋体" w:hAnsi="宋体"/>
          <w:color w:val="auto"/>
          <w:sz w:val="21"/>
          <w:szCs w:val="21"/>
        </w:rPr>
      </w:pPr>
      <w:r>
        <w:rPr>
          <w:rFonts w:hint="eastAsia" w:ascii="宋体" w:hAnsi="宋体"/>
          <w:color w:val="auto"/>
          <w:sz w:val="21"/>
          <w:szCs w:val="21"/>
        </w:rPr>
        <w:t>1、本合同的付款方式为：</w:t>
      </w:r>
      <w:r>
        <w:rPr>
          <w:rFonts w:hint="eastAsia" w:ascii="宋体" w:hAnsi="宋体"/>
          <w:color w:val="auto"/>
          <w:sz w:val="21"/>
          <w:szCs w:val="21"/>
          <w:u w:val="single"/>
        </w:rPr>
        <w:t xml:space="preserve">                     </w:t>
      </w:r>
      <w:r>
        <w:rPr>
          <w:rFonts w:hint="eastAsia" w:ascii="宋体" w:hAnsi="宋体"/>
          <w:color w:val="auto"/>
          <w:sz w:val="21"/>
          <w:szCs w:val="21"/>
        </w:rPr>
        <w:t>。</w:t>
      </w:r>
    </w:p>
    <w:p>
      <w:pPr>
        <w:pStyle w:val="15"/>
        <w:spacing w:line="360" w:lineRule="auto"/>
        <w:ind w:firstLine="420" w:firstLineChars="200"/>
        <w:rPr>
          <w:rFonts w:ascii="宋体" w:hAnsi="宋体"/>
          <w:color w:val="auto"/>
          <w:sz w:val="21"/>
          <w:szCs w:val="21"/>
        </w:rPr>
      </w:pPr>
      <w:r>
        <w:rPr>
          <w:rFonts w:hint="eastAsia" w:ascii="宋体" w:hAnsi="宋体"/>
          <w:color w:val="auto"/>
          <w:sz w:val="21"/>
          <w:szCs w:val="21"/>
        </w:rPr>
        <w:t>2、付款前乙方应向甲方提出请款申请及所需的材料和等额合格发票。本合同的经费由政府拨款，如因政策影响，拨款未能及时到位，乙方不得以此为由而不履行本合同规定的义务。否则，甲方按规定扣罚。如果乙方怠于或者拒绝提供资料或者办理手续的，则因此产生的付款迟延的责任全部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第七条 验收方式</w:t>
      </w:r>
    </w:p>
    <w:p>
      <w:pPr>
        <w:pStyle w:val="15"/>
        <w:spacing w:line="360" w:lineRule="auto"/>
        <w:ind w:firstLine="480"/>
        <w:rPr>
          <w:rFonts w:ascii="宋体" w:hAnsi="宋体"/>
          <w:color w:val="auto"/>
          <w:sz w:val="21"/>
          <w:szCs w:val="21"/>
        </w:rPr>
      </w:pPr>
      <w:r>
        <w:rPr>
          <w:rFonts w:hint="eastAsia" w:ascii="宋体" w:hAnsi="宋体"/>
          <w:color w:val="auto"/>
          <w:sz w:val="21"/>
          <w:szCs w:val="21"/>
        </w:rPr>
        <w:t>1、验收应在甲乙双方共同参加下进行，依据招标文件及本合同的有关规定制定的方案进行验收，并按国家有关规定、规范进行。</w:t>
      </w:r>
    </w:p>
    <w:p>
      <w:pPr>
        <w:pStyle w:val="15"/>
        <w:spacing w:line="360" w:lineRule="auto"/>
        <w:ind w:firstLine="480"/>
        <w:rPr>
          <w:rFonts w:ascii="宋体" w:hAnsi="宋体"/>
          <w:color w:val="auto"/>
          <w:sz w:val="21"/>
          <w:szCs w:val="21"/>
        </w:rPr>
      </w:pPr>
      <w:r>
        <w:rPr>
          <w:rFonts w:hint="eastAsia" w:ascii="宋体" w:hAnsi="宋体"/>
          <w:color w:val="auto"/>
          <w:sz w:val="21"/>
          <w:szCs w:val="21"/>
        </w:rPr>
        <w:t>2、甲方组织项目验收小组按国家有关规定、规范进行验收，必要时邀请相关专业人员或机构参与验收。</w:t>
      </w:r>
    </w:p>
    <w:p>
      <w:pPr>
        <w:pStyle w:val="15"/>
        <w:spacing w:line="360" w:lineRule="auto"/>
        <w:ind w:firstLine="480"/>
        <w:rPr>
          <w:rFonts w:ascii="宋体" w:hAnsi="宋体"/>
          <w:color w:val="auto"/>
          <w:sz w:val="21"/>
          <w:szCs w:val="21"/>
        </w:rPr>
      </w:pPr>
      <w:r>
        <w:rPr>
          <w:rFonts w:hint="eastAsia" w:ascii="宋体" w:hAnsi="宋体"/>
          <w:color w:val="auto"/>
          <w:sz w:val="21"/>
          <w:szCs w:val="21"/>
        </w:rPr>
        <w:t>3、对验收不合格的部分，乙方应在甲方规定时间内及时整改完善直至合格。</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第八条 税和关税</w:t>
      </w:r>
    </w:p>
    <w:p>
      <w:pPr>
        <w:pStyle w:val="15"/>
        <w:spacing w:line="360" w:lineRule="auto"/>
        <w:ind w:firstLine="482"/>
        <w:rPr>
          <w:rFonts w:ascii="宋体" w:hAnsi="宋体"/>
          <w:color w:val="auto"/>
          <w:sz w:val="21"/>
          <w:szCs w:val="21"/>
        </w:rPr>
      </w:pPr>
      <w:r>
        <w:rPr>
          <w:rFonts w:hint="eastAsia" w:ascii="宋体" w:hAnsi="宋体"/>
          <w:color w:val="auto"/>
          <w:sz w:val="21"/>
          <w:szCs w:val="21"/>
        </w:rPr>
        <w:t>1、中国政府根据现行税法对甲方征收的与本合同有关的一切税费均应由甲方承担。</w:t>
      </w:r>
    </w:p>
    <w:p>
      <w:pPr>
        <w:pStyle w:val="15"/>
        <w:spacing w:line="360" w:lineRule="auto"/>
        <w:ind w:firstLine="482"/>
        <w:rPr>
          <w:rFonts w:ascii="宋体" w:hAnsi="宋体"/>
          <w:color w:val="auto"/>
          <w:sz w:val="21"/>
          <w:szCs w:val="21"/>
        </w:rPr>
      </w:pPr>
      <w:r>
        <w:rPr>
          <w:rFonts w:hint="eastAsia" w:ascii="宋体" w:hAnsi="宋体"/>
          <w:color w:val="auto"/>
          <w:sz w:val="21"/>
          <w:szCs w:val="21"/>
        </w:rPr>
        <w:t>2、中国政府根据现行税法规定对乙方或其雇员征收的与本合同有关的一切税费应由乙方承担。</w:t>
      </w:r>
    </w:p>
    <w:p>
      <w:pPr>
        <w:pStyle w:val="15"/>
        <w:spacing w:line="360" w:lineRule="auto"/>
        <w:ind w:firstLine="482"/>
        <w:rPr>
          <w:rFonts w:ascii="宋体" w:hAnsi="宋体"/>
          <w:color w:val="auto"/>
          <w:sz w:val="21"/>
          <w:szCs w:val="21"/>
        </w:rPr>
      </w:pPr>
      <w:r>
        <w:rPr>
          <w:rFonts w:hint="eastAsia" w:ascii="宋体" w:hAnsi="宋体"/>
          <w:color w:val="auto"/>
          <w:sz w:val="21"/>
          <w:szCs w:val="21"/>
        </w:rPr>
        <w:t>3、在中国境外发生的与本合同执行有关的一切税费均应由乙方承担。</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第九条 其它约定</w:t>
      </w:r>
    </w:p>
    <w:p>
      <w:pPr>
        <w:spacing w:after="0" w:line="360" w:lineRule="auto"/>
        <w:ind w:firstLine="420" w:firstLineChars="200"/>
        <w:rPr>
          <w:rFonts w:ascii="宋体" w:hAnsi="宋体" w:eastAsia="宋体"/>
          <w:color w:val="auto"/>
          <w:sz w:val="21"/>
          <w:szCs w:val="21"/>
        </w:rPr>
      </w:pPr>
      <w:r>
        <w:rPr>
          <w:rFonts w:ascii="宋体" w:hAnsi="宋体" w:eastAsia="宋体"/>
          <w:color w:val="auto"/>
          <w:sz w:val="21"/>
          <w:szCs w:val="21"/>
        </w:rPr>
        <w:t>1</w:t>
      </w:r>
      <w:r>
        <w:rPr>
          <w:rFonts w:hint="eastAsia" w:ascii="宋体" w:hAnsi="宋体" w:eastAsia="宋体"/>
          <w:color w:val="auto"/>
          <w:sz w:val="21"/>
          <w:szCs w:val="21"/>
        </w:rPr>
        <w:t>、严禁转包，未经甲方书面同意不得分包。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2、乙方全部工作人员，须符合东莞市政府用工标准要求。</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3、乙方服务人员进行服务期间的过失或故意行为，造成甲方经济损失的，由乙方负责赔偿。</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4、服务人员的劳动关系隶属乙方，乙方负责服务人员的工资、节假日和超时加班补助费、社会保险、住宿、伙食等。</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5、乙方负责本项目服务人员购买因意外身故或伤残和因意外事故住院治疗保险，并负责办理一切保险赔偿手续。</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第十条 违约责任</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1、合同双方任何一方不履行合同条款或不按合同约定履行条款的其它情况，均属违约，由违约方承担违约责任，赔偿因其违约造成的损失，并支付合同价款总额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%的违约金。</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2、由于乙方的原因，导致双方签订的合同终止，乙方因此而遭受的损失，将由乙方独立承担，甲方对此不负任何责任，也不作任何赔偿。</w:t>
      </w:r>
    </w:p>
    <w:bookmarkEnd w:id="86"/>
    <w:p>
      <w:pPr>
        <w:spacing w:after="0" w:line="360" w:lineRule="auto"/>
        <w:ind w:firstLine="422" w:firstLineChars="200"/>
        <w:rPr>
          <w:rFonts w:ascii="宋体" w:hAnsi="宋体" w:eastAsia="宋体"/>
          <w:b/>
          <w:color w:val="auto"/>
          <w:sz w:val="21"/>
          <w:szCs w:val="21"/>
        </w:rPr>
      </w:pPr>
      <w:bookmarkStart w:id="87" w:name="_Toc86481570"/>
      <w:r>
        <w:rPr>
          <w:rFonts w:hint="eastAsia" w:ascii="宋体" w:hAnsi="宋体" w:eastAsia="宋体"/>
          <w:b/>
          <w:color w:val="auto"/>
          <w:sz w:val="21"/>
          <w:szCs w:val="21"/>
        </w:rPr>
        <w:t>第十一条 争议的解决</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1、凡与本合同有关而引起的一切争议，甲乙双方应首先通过友好协商解决，如经协商后仍不能达成协议时，任何一方可以向法院提出诉讼。</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2、本合同发生的诉讼管辖地为东莞市有管辖权的法院。</w:t>
      </w: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3、在进行法院审理期间，除提交法院审理的事项外，合同其他部分仍继续履行。</w:t>
      </w:r>
    </w:p>
    <w:p>
      <w:pPr>
        <w:spacing w:after="0" w:line="360" w:lineRule="auto"/>
        <w:ind w:firstLine="420" w:firstLineChars="200"/>
        <w:rPr>
          <w:rFonts w:ascii="宋体" w:hAnsi="宋体" w:eastAsia="宋体" w:cs="仿宋"/>
          <w:color w:val="auto"/>
          <w:sz w:val="21"/>
          <w:szCs w:val="21"/>
          <w:shd w:val="clear" w:color="auto" w:fill="FFFFFF"/>
        </w:rPr>
      </w:pPr>
      <w:r>
        <w:rPr>
          <w:rFonts w:hint="eastAsia" w:ascii="宋体" w:hAnsi="宋体" w:eastAsia="宋体" w:cs="宋体"/>
          <w:color w:val="auto"/>
          <w:sz w:val="21"/>
          <w:szCs w:val="21"/>
        </w:rPr>
        <w:t>4、本合同按照中华人民共和国的法律进行解释</w:t>
      </w:r>
      <w:r>
        <w:rPr>
          <w:rFonts w:hint="eastAsia" w:ascii="宋体" w:hAnsi="宋体" w:eastAsia="宋体" w:cs="仿宋"/>
          <w:color w:val="auto"/>
          <w:sz w:val="21"/>
          <w:szCs w:val="21"/>
          <w:shd w:val="clear" w:color="auto" w:fill="FFFFFF"/>
        </w:rPr>
        <w:t>。</w:t>
      </w:r>
    </w:p>
    <w:p>
      <w:pPr>
        <w:spacing w:after="0" w:line="360" w:lineRule="auto"/>
        <w:ind w:firstLine="422" w:firstLineChars="200"/>
        <w:rPr>
          <w:rFonts w:ascii="宋体" w:hAnsi="宋体" w:eastAsia="宋体"/>
          <w:b/>
          <w:color w:val="auto"/>
          <w:sz w:val="21"/>
          <w:szCs w:val="21"/>
        </w:rPr>
      </w:pPr>
      <w:bookmarkStart w:id="88" w:name="_Toc86481569"/>
      <w:r>
        <w:rPr>
          <w:rFonts w:hint="eastAsia" w:ascii="宋体" w:hAnsi="宋体" w:eastAsia="宋体"/>
          <w:b/>
          <w:color w:val="auto"/>
          <w:sz w:val="21"/>
          <w:szCs w:val="21"/>
        </w:rPr>
        <w:t>第十二条 合同生效</w:t>
      </w:r>
      <w:bookmarkEnd w:id="88"/>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1、本合同由双方法定代表人或委托代理人签字盖章后立即生效，具有同等法律效力，合同有效期随服务期结束而自然终止。</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2、本合同一式    份，其中甲方    份、乙方    份，采购代理机构 壹 份（须在合同签订之日起7个工作日内递交）。</w:t>
      </w:r>
    </w:p>
    <w:p>
      <w:pPr>
        <w:spacing w:after="0" w:line="360" w:lineRule="auto"/>
        <w:ind w:firstLine="422" w:firstLineChars="200"/>
        <w:rPr>
          <w:rFonts w:ascii="宋体" w:hAnsi="宋体" w:eastAsia="宋体"/>
          <w:b/>
          <w:color w:val="auto"/>
          <w:sz w:val="21"/>
          <w:szCs w:val="21"/>
        </w:rPr>
      </w:pPr>
      <w:r>
        <w:rPr>
          <w:rFonts w:hint="eastAsia" w:ascii="宋体" w:hAnsi="宋体" w:eastAsia="宋体"/>
          <w:b/>
          <w:color w:val="auto"/>
          <w:sz w:val="21"/>
          <w:szCs w:val="21"/>
        </w:rPr>
        <w:t>第十三条 其它</w:t>
      </w:r>
      <w:bookmarkEnd w:id="87"/>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1、本合同未尽事宜，双方可签订补充合同，补充合同与所有附件均为合同的有效组成部分，与本合同具有同等法律效力。</w:t>
      </w:r>
    </w:p>
    <w:p>
      <w:pPr>
        <w:spacing w:after="0" w:line="360" w:lineRule="auto"/>
        <w:ind w:firstLine="399" w:firstLineChars="190"/>
        <w:rPr>
          <w:rFonts w:ascii="宋体" w:hAnsi="宋体" w:eastAsia="宋体"/>
          <w:color w:val="auto"/>
          <w:sz w:val="21"/>
          <w:szCs w:val="21"/>
        </w:rPr>
      </w:pPr>
      <w:r>
        <w:rPr>
          <w:rFonts w:hint="eastAsia" w:ascii="宋体" w:hAnsi="宋体" w:eastAsia="宋体"/>
          <w:color w:val="auto"/>
          <w:sz w:val="21"/>
          <w:szCs w:val="21"/>
        </w:rPr>
        <w:t>2、在执行本合同的过程中，所有经甲乙双方签署确认的文件（包括会议纪要、补充协议、往来信函、合同附件等）即成为本合同的有效组成部分，其生效日期为双方签字盖章或确认之日期。</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本合同合计   页A4纸张，缺页之合同为无效合同。</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甲方（盖章）：                      乙方（盖章）：</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法定代表(签字)：                   法定代表(签字)：</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地址：                             地址：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电话：                             电话：</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传真：</w:t>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ab/>
      </w:r>
      <w:r>
        <w:rPr>
          <w:rFonts w:hint="eastAsia" w:ascii="宋体" w:hAnsi="宋体" w:eastAsia="宋体"/>
          <w:color w:val="auto"/>
          <w:sz w:val="21"/>
          <w:szCs w:val="21"/>
        </w:rPr>
        <w:t>传真：</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开户银行：</w:t>
      </w:r>
      <w:r>
        <w:rPr>
          <w:rFonts w:hint="eastAsia" w:ascii="宋体" w:hAnsi="宋体" w:eastAsia="宋体"/>
          <w:color w:val="auto"/>
          <w:sz w:val="21"/>
          <w:szCs w:val="21"/>
        </w:rPr>
        <w:tab/>
      </w:r>
      <w:r>
        <w:rPr>
          <w:rFonts w:hint="eastAsia" w:ascii="宋体" w:hAnsi="宋体" w:eastAsia="宋体"/>
          <w:color w:val="auto"/>
          <w:sz w:val="21"/>
          <w:szCs w:val="21"/>
        </w:rPr>
        <w:t xml:space="preserve">                     开户银行：</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账号：                             账号：</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签约时间：</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签约地点：</w:t>
      </w:r>
    </w:p>
    <w:p>
      <w:pPr>
        <w:rPr>
          <w:rFonts w:ascii="宋体" w:hAnsi="宋体" w:eastAsia="宋体"/>
          <w:b/>
          <w:color w:val="auto"/>
          <w:sz w:val="21"/>
          <w:szCs w:val="21"/>
        </w:rPr>
      </w:pPr>
      <w:r>
        <w:rPr>
          <w:rFonts w:hint="eastAsia" w:ascii="宋体" w:hAnsi="宋体" w:eastAsia="宋体"/>
          <w:b/>
          <w:color w:val="auto"/>
          <w:sz w:val="21"/>
          <w:szCs w:val="21"/>
        </w:rPr>
        <w:t>此仅为合同书样本，中标人需根据实际情况和甲方签订相应的合同！</w:t>
      </w:r>
    </w:p>
    <w:p>
      <w:pPr>
        <w:rPr>
          <w:rFonts w:ascii="宋体" w:hAnsi="宋体" w:eastAsia="宋体"/>
          <w:b/>
          <w:color w:val="auto"/>
          <w:sz w:val="21"/>
          <w:szCs w:val="21"/>
        </w:rPr>
      </w:pPr>
      <w:r>
        <w:rPr>
          <w:rFonts w:hint="eastAsia" w:ascii="宋体" w:hAnsi="宋体" w:eastAsia="宋体"/>
          <w:b/>
          <w:color w:val="auto"/>
          <w:sz w:val="21"/>
          <w:szCs w:val="21"/>
        </w:rPr>
        <w:br w:type="page"/>
      </w:r>
    </w:p>
    <w:p>
      <w:pPr>
        <w:pStyle w:val="2"/>
        <w:spacing w:before="0" w:after="0" w:line="240" w:lineRule="auto"/>
        <w:rPr>
          <w:color w:val="auto"/>
          <w:sz w:val="28"/>
          <w:szCs w:val="28"/>
        </w:rPr>
      </w:pPr>
      <w:bookmarkStart w:id="89" w:name="_Toc23749"/>
      <w:r>
        <w:rPr>
          <w:rFonts w:hint="eastAsia"/>
          <w:color w:val="auto"/>
          <w:sz w:val="28"/>
          <w:szCs w:val="28"/>
        </w:rPr>
        <w:t>第六部分  附件－投标文件格式</w:t>
      </w:r>
      <w:bookmarkEnd w:id="89"/>
    </w:p>
    <w:p>
      <w:pPr>
        <w:rPr>
          <w:color w:val="auto"/>
        </w:rPr>
      </w:pPr>
    </w:p>
    <w:p>
      <w:pPr>
        <w:pStyle w:val="4"/>
        <w:widowControl w:val="0"/>
        <w:overflowPunct w:val="0"/>
        <w:spacing w:before="0" w:after="0" w:line="240" w:lineRule="auto"/>
        <w:rPr>
          <w:rFonts w:ascii="宋体" w:hAnsi="宋体" w:eastAsia="宋体"/>
          <w:color w:val="auto"/>
          <w:sz w:val="21"/>
          <w:szCs w:val="21"/>
        </w:rPr>
      </w:pPr>
      <w:bookmarkStart w:id="90" w:name="_Toc26830"/>
      <w:r>
        <w:rPr>
          <w:rFonts w:hint="eastAsia" w:ascii="宋体" w:hAnsi="宋体" w:eastAsia="宋体"/>
          <w:color w:val="auto"/>
          <w:sz w:val="21"/>
          <w:szCs w:val="21"/>
        </w:rPr>
        <w:t>附件1.投标文件目录</w:t>
      </w:r>
      <w:bookmarkEnd w:id="90"/>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目录</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格式自理。</w:t>
      </w: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注：</w:t>
      </w:r>
    </w:p>
    <w:p>
      <w:pPr>
        <w:adjustRightInd/>
        <w:snapToGrid/>
        <w:spacing w:line="276" w:lineRule="auto"/>
        <w:rPr>
          <w:rFonts w:ascii="宋体" w:hAnsi="宋体" w:eastAsia="宋体"/>
          <w:color w:val="auto"/>
          <w:sz w:val="21"/>
          <w:szCs w:val="21"/>
        </w:rPr>
      </w:pPr>
      <w:r>
        <w:rPr>
          <w:rFonts w:hint="eastAsia" w:ascii="宋体" w:hAnsi="宋体" w:eastAsia="宋体"/>
          <w:color w:val="auto"/>
          <w:sz w:val="21"/>
          <w:szCs w:val="21"/>
        </w:rPr>
        <w:t>1、投标人制作的投标文件应当具备目录。</w:t>
      </w:r>
      <w:r>
        <w:rPr>
          <w:rFonts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91" w:name="_Toc18893"/>
      <w:r>
        <w:rPr>
          <w:rFonts w:hint="eastAsia" w:ascii="宋体" w:hAnsi="宋体" w:eastAsia="宋体"/>
          <w:color w:val="auto"/>
          <w:sz w:val="21"/>
          <w:szCs w:val="21"/>
        </w:rPr>
        <w:t>附件1-1 评分标准索引表</w:t>
      </w:r>
      <w:bookmarkEnd w:id="91"/>
    </w:p>
    <w:p>
      <w:pPr>
        <w:adjustRightInd/>
        <w:snapToGrid/>
        <w:spacing w:line="276" w:lineRule="auto"/>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评分标准索引表</w:t>
      </w:r>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序号</w:t>
            </w:r>
          </w:p>
        </w:tc>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评审项目</w:t>
            </w:r>
          </w:p>
        </w:tc>
        <w:tc>
          <w:tcPr>
            <w:tcW w:w="1704" w:type="dxa"/>
            <w:vAlign w:val="center"/>
          </w:tcPr>
          <w:p>
            <w:pPr>
              <w:spacing w:after="0"/>
              <w:jc w:val="center"/>
              <w:rPr>
                <w:rFonts w:ascii="宋体" w:hAnsi="宋体" w:eastAsia="宋体" w:cs="宋体"/>
                <w:color w:val="auto"/>
              </w:rPr>
            </w:pPr>
            <w:r>
              <w:rPr>
                <w:rFonts w:hint="eastAsia" w:ascii="宋体" w:hAnsi="宋体" w:eastAsia="宋体" w:cs="宋体"/>
                <w:color w:val="auto"/>
              </w:rPr>
              <w:t>评分细则</w:t>
            </w:r>
          </w:p>
        </w:tc>
        <w:tc>
          <w:tcPr>
            <w:tcW w:w="1705" w:type="dxa"/>
            <w:vAlign w:val="center"/>
          </w:tcPr>
          <w:p>
            <w:pPr>
              <w:spacing w:after="0"/>
              <w:jc w:val="center"/>
              <w:rPr>
                <w:rFonts w:ascii="宋体" w:hAnsi="宋体" w:eastAsia="宋体" w:cs="宋体"/>
                <w:color w:val="auto"/>
              </w:rPr>
            </w:pPr>
            <w:r>
              <w:rPr>
                <w:rFonts w:hint="eastAsia" w:ascii="宋体" w:hAnsi="宋体" w:eastAsia="宋体" w:cs="宋体"/>
                <w:color w:val="auto"/>
              </w:rPr>
              <w:t>分值</w:t>
            </w:r>
          </w:p>
        </w:tc>
        <w:tc>
          <w:tcPr>
            <w:tcW w:w="1705" w:type="dxa"/>
            <w:vAlign w:val="center"/>
          </w:tcPr>
          <w:p>
            <w:pPr>
              <w:spacing w:after="0"/>
              <w:jc w:val="center"/>
              <w:rPr>
                <w:rFonts w:ascii="宋体" w:hAnsi="宋体" w:eastAsia="宋体" w:cs="宋体"/>
                <w:color w:val="auto"/>
              </w:rPr>
            </w:pPr>
            <w:r>
              <w:rPr>
                <w:rFonts w:hint="eastAsia" w:ascii="宋体" w:hAnsi="宋体" w:eastAsia="宋体" w:cs="宋体"/>
                <w:color w:val="auto"/>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rPr>
            </w:pPr>
            <w:r>
              <w:rPr>
                <w:rFonts w:hint="eastAsia" w:ascii="宋体" w:hAnsi="宋体" w:eastAsia="宋体" w:cs="宋体"/>
                <w:color w:val="auto"/>
              </w:rPr>
              <w:t>商务评审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522" w:type="dxa"/>
            <w:gridSpan w:val="5"/>
            <w:vAlign w:val="center"/>
          </w:tcPr>
          <w:p>
            <w:pPr>
              <w:spacing w:after="0"/>
              <w:rPr>
                <w:rFonts w:ascii="宋体" w:hAnsi="宋体" w:eastAsia="宋体" w:cs="宋体"/>
                <w:color w:val="auto"/>
              </w:rPr>
            </w:pPr>
            <w:r>
              <w:rPr>
                <w:rFonts w:hint="eastAsia" w:ascii="宋体" w:hAnsi="宋体" w:eastAsia="宋体" w:cs="宋体"/>
                <w:color w:val="auto"/>
              </w:rPr>
              <w:t>技术评审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4"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c>
          <w:tcPr>
            <w:tcW w:w="1705" w:type="dxa"/>
            <w:vAlign w:val="center"/>
          </w:tcPr>
          <w:p>
            <w:pPr>
              <w:spacing w:after="0"/>
              <w:jc w:val="center"/>
              <w:rPr>
                <w:rFonts w:ascii="宋体" w:hAnsi="宋体" w:eastAsia="宋体" w:cs="宋体"/>
                <w:color w:val="auto"/>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numPr>
          <w:ilvl w:val="0"/>
          <w:numId w:val="8"/>
        </w:numPr>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该表格为参考格式，投标人可按实际情况自行制订评分标准索引表。</w:t>
      </w:r>
    </w:p>
    <w:p>
      <w:pPr>
        <w:pStyle w:val="6"/>
        <w:spacing w:before="0"/>
        <w:ind w:left="0"/>
        <w:rPr>
          <w:color w:val="auto"/>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p>
    <w:p>
      <w:pPr>
        <w:adjustRightInd/>
        <w:snapToGrid/>
        <w:spacing w:line="276" w:lineRule="auto"/>
        <w:rPr>
          <w:rFonts w:ascii="宋体" w:hAnsi="宋体" w:eastAsia="宋体"/>
          <w:color w:val="auto"/>
          <w:sz w:val="21"/>
          <w:szCs w:val="21"/>
        </w:rPr>
      </w:pPr>
      <w:r>
        <w:rPr>
          <w:rFonts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92" w:name="_Toc30640"/>
      <w:r>
        <w:rPr>
          <w:rFonts w:hint="eastAsia" w:ascii="宋体" w:hAnsi="宋体" w:eastAsia="宋体"/>
          <w:color w:val="auto"/>
          <w:sz w:val="21"/>
          <w:szCs w:val="21"/>
        </w:rPr>
        <w:t>附件2.投标书格式</w:t>
      </w:r>
      <w:bookmarkEnd w:id="92"/>
    </w:p>
    <w:p>
      <w:pPr>
        <w:jc w:val="center"/>
        <w:rPr>
          <w:rFonts w:ascii="宋体" w:hAnsi="宋体" w:eastAsia="宋体"/>
          <w:color w:val="auto"/>
          <w:sz w:val="21"/>
          <w:szCs w:val="21"/>
        </w:rPr>
      </w:pPr>
      <w:r>
        <w:rPr>
          <w:rFonts w:hint="eastAsia" w:ascii="黑体" w:eastAsia="黑体"/>
          <w:color w:val="auto"/>
          <w:sz w:val="32"/>
          <w:szCs w:val="32"/>
        </w:rPr>
        <w:t>投标书</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致：三方诚信招标有限公司东莞分公司：</w:t>
      </w:r>
    </w:p>
    <w:p>
      <w:pPr>
        <w:spacing w:after="0" w:line="360" w:lineRule="auto"/>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根据贵方为</w:t>
      </w:r>
      <w:r>
        <w:rPr>
          <w:rFonts w:hint="eastAsia" w:ascii="宋体" w:hAnsi="宋体" w:eastAsia="宋体"/>
          <w:color w:val="auto"/>
          <w:sz w:val="21"/>
          <w:szCs w:val="21"/>
          <w:u w:val="single"/>
        </w:rPr>
        <w:t>（项目名称）（采购项目编号）</w:t>
      </w:r>
      <w:r>
        <w:rPr>
          <w:rFonts w:hint="eastAsia" w:ascii="宋体" w:hAnsi="宋体" w:eastAsia="宋体"/>
          <w:color w:val="auto"/>
          <w:sz w:val="21"/>
          <w:szCs w:val="21"/>
        </w:rPr>
        <w:t>项目招标公告/招标邀请，签字代表</w:t>
      </w:r>
      <w:r>
        <w:rPr>
          <w:rFonts w:hint="eastAsia" w:ascii="宋体" w:hAnsi="宋体" w:eastAsia="宋体"/>
          <w:color w:val="auto"/>
          <w:sz w:val="21"/>
          <w:szCs w:val="21"/>
          <w:u w:val="single"/>
        </w:rPr>
        <w:t>（姓名、职务）</w:t>
      </w:r>
      <w:r>
        <w:rPr>
          <w:rFonts w:hint="eastAsia" w:ascii="宋体" w:hAnsi="宋体" w:eastAsia="宋体"/>
          <w:color w:val="auto"/>
          <w:sz w:val="21"/>
          <w:szCs w:val="21"/>
        </w:rPr>
        <w:t>经正式授权并代表投标人</w:t>
      </w:r>
      <w:r>
        <w:rPr>
          <w:rFonts w:hint="eastAsia" w:ascii="宋体" w:hAnsi="宋体" w:eastAsia="宋体"/>
          <w:color w:val="auto"/>
          <w:sz w:val="21"/>
          <w:szCs w:val="21"/>
          <w:u w:val="single"/>
        </w:rPr>
        <w:t>（投标人名称、地址）</w:t>
      </w:r>
      <w:r>
        <w:rPr>
          <w:rFonts w:hint="eastAsia" w:ascii="宋体" w:hAnsi="宋体" w:eastAsia="宋体"/>
          <w:color w:val="auto"/>
          <w:sz w:val="21"/>
          <w:szCs w:val="21"/>
        </w:rPr>
        <w:t>提交投标文件及“开标文件”：</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 xml:space="preserve">在此，签字代表宣布同意如下： </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我方将按招标文件的规定履行合同责任和义务。 </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b/>
          <w:color w:val="auto"/>
          <w:sz w:val="21"/>
          <w:szCs w:val="21"/>
        </w:rPr>
        <w:t>我方已完整阅读了本项目招标文件的所有内容（包括澄清，以及所有已提供的参考资料和有关附件），并完全理解上述文件所表达的意思，该项目递交投标文件时间截止后，我方承诺不再对上述文件内容进行询问或质疑。</w:t>
      </w:r>
      <w:r>
        <w:rPr>
          <w:rFonts w:hint="eastAsia" w:ascii="宋体" w:hAnsi="宋体" w:eastAsia="宋体"/>
          <w:color w:val="auto"/>
          <w:sz w:val="21"/>
          <w:szCs w:val="21"/>
        </w:rPr>
        <w:t xml:space="preserve"> </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本投标有效期为自开标日起</w:t>
      </w:r>
      <w:r>
        <w:rPr>
          <w:rFonts w:hint="eastAsia" w:ascii="宋体" w:hAnsi="宋体" w:eastAsia="宋体"/>
          <w:color w:val="auto"/>
          <w:sz w:val="21"/>
          <w:szCs w:val="21"/>
          <w:u w:val="single"/>
        </w:rPr>
        <w:t>90</w:t>
      </w:r>
      <w:r>
        <w:rPr>
          <w:rFonts w:hint="eastAsia" w:ascii="宋体" w:hAnsi="宋体" w:eastAsia="宋体"/>
          <w:color w:val="auto"/>
          <w:sz w:val="21"/>
          <w:szCs w:val="21"/>
        </w:rPr>
        <w:t xml:space="preserve">个日历日。 </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我方保证遵守投标人须知中关于没收投标保证金的规定。</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 xml:space="preserve">我方承诺，与买方聘请的为此项目提供咨询服务的公司及任何附属机构均无关联，我方不是买方的附属机构。 </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承诺，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我方同意提供按照贵方可能要求的与其投标有关的一切数据或资料。</w:t>
      </w:r>
    </w:p>
    <w:p>
      <w:pPr>
        <w:widowControl w:val="0"/>
        <w:numPr>
          <w:ilvl w:val="0"/>
          <w:numId w:val="9"/>
        </w:numPr>
        <w:adjustRightInd/>
        <w:snapToGrid/>
        <w:spacing w:after="0" w:line="360" w:lineRule="auto"/>
        <w:jc w:val="both"/>
        <w:rPr>
          <w:rFonts w:ascii="宋体" w:hAnsi="宋体" w:eastAsia="宋体"/>
          <w:color w:val="auto"/>
          <w:sz w:val="21"/>
          <w:szCs w:val="21"/>
        </w:rPr>
      </w:pPr>
      <w:r>
        <w:rPr>
          <w:rFonts w:hint="eastAsia" w:ascii="宋体" w:hAnsi="宋体" w:eastAsia="宋体"/>
          <w:color w:val="auto"/>
          <w:sz w:val="21"/>
          <w:szCs w:val="21"/>
        </w:rPr>
        <w:t>与本投标有关的一切正式信函请寄：</w:t>
      </w:r>
    </w:p>
    <w:p>
      <w:pPr>
        <w:spacing w:after="0" w:line="360" w:lineRule="auto"/>
        <w:rPr>
          <w:rFonts w:ascii="宋体" w:hAnsi="宋体" w:eastAsia="宋体"/>
          <w:color w:val="auto"/>
          <w:sz w:val="21"/>
          <w:szCs w:val="21"/>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地址：　　　　　　　　　　　　　　　　　　　传真：</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电话/移动电话：　　　　　　　　　　　　　　　电子函件：</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投标人代表签字：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投标人名称（全称）：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 xml:space="preserve">投标人盖章： </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投标人开户银行（全称）：</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投标人银行帐号：</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日期：</w:t>
      </w:r>
    </w:p>
    <w:p>
      <w:pPr>
        <w:pStyle w:val="4"/>
        <w:widowControl w:val="0"/>
        <w:overflowPunct w:val="0"/>
        <w:spacing w:before="0" w:after="0" w:line="240" w:lineRule="auto"/>
        <w:rPr>
          <w:rFonts w:ascii="宋体" w:hAnsi="宋体" w:eastAsia="宋体"/>
          <w:color w:val="auto"/>
          <w:sz w:val="21"/>
          <w:szCs w:val="21"/>
        </w:rPr>
      </w:pPr>
      <w:bookmarkStart w:id="93" w:name="_Toc6866"/>
      <w:r>
        <w:rPr>
          <w:rFonts w:hint="eastAsia" w:ascii="宋体" w:hAnsi="宋体" w:eastAsia="宋体"/>
          <w:color w:val="auto"/>
          <w:sz w:val="21"/>
          <w:szCs w:val="21"/>
        </w:rPr>
        <w:t>附件3.开标一览表格式</w:t>
      </w:r>
      <w:bookmarkEnd w:id="93"/>
    </w:p>
    <w:p>
      <w:pPr>
        <w:jc w:val="center"/>
        <w:rPr>
          <w:rFonts w:ascii="黑体" w:eastAsia="黑体"/>
          <w:color w:val="auto"/>
          <w:sz w:val="32"/>
          <w:szCs w:val="32"/>
        </w:rPr>
      </w:pPr>
      <w:r>
        <w:rPr>
          <w:rFonts w:hint="eastAsia" w:ascii="黑体" w:eastAsia="黑体"/>
          <w:color w:val="auto"/>
          <w:sz w:val="32"/>
          <w:szCs w:val="32"/>
        </w:rPr>
        <w:t>开标一览表</w:t>
      </w:r>
    </w:p>
    <w:p>
      <w:pPr>
        <w:spacing w:line="360" w:lineRule="auto"/>
        <w:rPr>
          <w:color w:val="auto"/>
        </w:rPr>
      </w:pPr>
    </w:p>
    <w:p>
      <w:pPr>
        <w:spacing w:after="0" w:line="360" w:lineRule="auto"/>
        <w:rPr>
          <w:rFonts w:ascii="宋体" w:hAnsi="宋体" w:eastAsia="宋体"/>
          <w:color w:val="auto"/>
          <w:sz w:val="21"/>
          <w:szCs w:val="21"/>
        </w:rPr>
      </w:pPr>
      <w:r>
        <w:rPr>
          <w:rFonts w:hint="eastAsia" w:ascii="宋体" w:hAnsi="宋体" w:eastAsia="宋体"/>
          <w:color w:val="auto"/>
          <w:sz w:val="21"/>
          <w:szCs w:val="21"/>
        </w:rPr>
        <w:t>投标人名称：</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tbl>
      <w:tblPr>
        <w:tblStyle w:val="16"/>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3085"/>
        <w:gridCol w:w="3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2714"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r>
              <w:rPr>
                <w:rFonts w:hint="eastAsia" w:ascii="宋体" w:hAnsi="宋体" w:eastAsia="宋体"/>
                <w:color w:val="auto"/>
                <w:sz w:val="21"/>
                <w:szCs w:val="21"/>
              </w:rPr>
              <w:t>项目名称</w:t>
            </w: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r>
              <w:rPr>
                <w:rFonts w:hint="eastAsia" w:ascii="宋体" w:hAnsi="宋体" w:eastAsia="宋体"/>
                <w:color w:val="auto"/>
                <w:sz w:val="21"/>
                <w:szCs w:val="21"/>
              </w:rPr>
              <w:t>投标总价</w:t>
            </w:r>
          </w:p>
        </w:tc>
        <w:tc>
          <w:tcPr>
            <w:tcW w:w="3262"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小写：</w:t>
            </w:r>
          </w:p>
        </w:tc>
        <w:tc>
          <w:tcPr>
            <w:tcW w:w="3262" w:type="dxa"/>
            <w:vMerge w:val="restart"/>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center"/>
              <w:textAlignment w:val="auto"/>
              <w:rPr>
                <w:rFonts w:hint="eastAsia"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6" w:hRule="atLeast"/>
          <w:jc w:val="center"/>
        </w:trPr>
        <w:tc>
          <w:tcPr>
            <w:tcW w:w="2714" w:type="dxa"/>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color w:val="auto"/>
              </w:rPr>
            </w:pPr>
          </w:p>
        </w:tc>
        <w:tc>
          <w:tcPr>
            <w:tcW w:w="3085" w:type="dxa"/>
            <w:vAlign w:val="center"/>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大写：</w:t>
            </w:r>
          </w:p>
        </w:tc>
        <w:tc>
          <w:tcPr>
            <w:tcW w:w="3262" w:type="dxa"/>
            <w:vMerge w:val="continue"/>
          </w:tcPr>
          <w:p>
            <w:pPr>
              <w:keepNext w:val="0"/>
              <w:keepLines w:val="0"/>
              <w:pageBreakBefore w:val="0"/>
              <w:widowControl/>
              <w:tabs>
                <w:tab w:val="left" w:pos="654"/>
                <w:tab w:val="left" w:pos="1734"/>
                <w:tab w:val="left" w:pos="2814"/>
                <w:tab w:val="left" w:pos="3894"/>
                <w:tab w:val="left" w:pos="5334"/>
                <w:tab w:val="left" w:pos="6414"/>
                <w:tab w:val="left" w:pos="7254"/>
                <w:tab w:val="left" w:pos="8574"/>
                <w:tab w:val="left" w:pos="9654"/>
              </w:tabs>
              <w:kinsoku/>
              <w:wordWrap/>
              <w:overflowPunct/>
              <w:topLinePunct w:val="0"/>
              <w:autoSpaceDE/>
              <w:autoSpaceDN/>
              <w:bidi w:val="0"/>
              <w:adjustRightInd w:val="0"/>
              <w:snapToGrid w:val="0"/>
              <w:spacing w:after="0" w:line="240" w:lineRule="auto"/>
              <w:ind w:left="0"/>
              <w:jc w:val="both"/>
              <w:textAlignment w:val="auto"/>
              <w:rPr>
                <w:rFonts w:hint="eastAsia" w:ascii="宋体" w:hAnsi="宋体" w:eastAsia="宋体"/>
                <w:color w:val="auto"/>
                <w:sz w:val="21"/>
                <w:szCs w:val="21"/>
                <w:lang w:eastAsia="zh-CN"/>
              </w:rPr>
            </w:pPr>
          </w:p>
        </w:tc>
      </w:tr>
    </w:tbl>
    <w:p>
      <w:pPr>
        <w:spacing w:after="0" w:line="360" w:lineRule="auto"/>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投标人盖章：</w:t>
      </w:r>
    </w:p>
    <w:p>
      <w:pPr>
        <w:spacing w:after="0" w:line="360" w:lineRule="auto"/>
        <w:ind w:firstLine="359" w:firstLineChars="171"/>
        <w:rPr>
          <w:rFonts w:ascii="宋体" w:hAnsi="宋体" w:eastAsia="宋体"/>
          <w:color w:val="auto"/>
          <w:sz w:val="21"/>
          <w:szCs w:val="21"/>
        </w:rPr>
      </w:pPr>
      <w:r>
        <w:rPr>
          <w:rFonts w:hint="eastAsia" w:ascii="宋体" w:hAnsi="宋体" w:eastAsia="宋体"/>
          <w:color w:val="auto"/>
          <w:sz w:val="21"/>
          <w:szCs w:val="21"/>
        </w:rPr>
        <w:t>日期：</w:t>
      </w:r>
    </w:p>
    <w:p>
      <w:pPr>
        <w:spacing w:after="0" w:line="360" w:lineRule="auto"/>
        <w:ind w:firstLine="359" w:firstLineChars="171"/>
        <w:rPr>
          <w:rFonts w:ascii="宋体" w:hAnsi="宋体" w:eastAsia="宋体"/>
          <w:color w:val="auto"/>
          <w:sz w:val="21"/>
          <w:szCs w:val="21"/>
        </w:rPr>
      </w:pPr>
    </w:p>
    <w:p>
      <w:pPr>
        <w:spacing w:after="0" w:line="360" w:lineRule="auto"/>
        <w:ind w:left="391" w:hanging="390" w:hangingChars="186"/>
        <w:rPr>
          <w:rFonts w:ascii="宋体" w:hAnsi="宋体" w:eastAsia="宋体"/>
          <w:color w:val="auto"/>
          <w:sz w:val="21"/>
          <w:szCs w:val="21"/>
        </w:rPr>
      </w:pPr>
      <w:r>
        <w:rPr>
          <w:rFonts w:hint="eastAsia" w:ascii="宋体" w:hAnsi="宋体" w:eastAsia="宋体"/>
          <w:color w:val="auto"/>
          <w:sz w:val="21"/>
          <w:szCs w:val="21"/>
        </w:rPr>
        <w:t xml:space="preserve">       注：1、投标总价栏须</w:t>
      </w:r>
      <w:r>
        <w:rPr>
          <w:rFonts w:ascii="宋体" w:hAnsi="宋体" w:eastAsia="宋体"/>
          <w:color w:val="auto"/>
          <w:sz w:val="21"/>
          <w:szCs w:val="21"/>
        </w:rPr>
        <w:t>用</w:t>
      </w:r>
      <w:r>
        <w:rPr>
          <w:rFonts w:hint="eastAsia" w:ascii="宋体" w:hAnsi="宋体" w:eastAsia="宋体"/>
          <w:color w:val="auto"/>
          <w:sz w:val="21"/>
          <w:szCs w:val="21"/>
        </w:rPr>
        <w:t>大写金额和小写金额两种方式</w:t>
      </w:r>
      <w:r>
        <w:rPr>
          <w:rFonts w:ascii="宋体" w:hAnsi="宋体" w:eastAsia="宋体"/>
          <w:color w:val="auto"/>
          <w:sz w:val="21"/>
          <w:szCs w:val="21"/>
        </w:rPr>
        <w:t>表示的投标总价</w:t>
      </w:r>
      <w:r>
        <w:rPr>
          <w:rFonts w:hint="eastAsia" w:ascii="宋体" w:hAnsi="宋体" w:eastAsia="宋体"/>
          <w:color w:val="auto"/>
          <w:sz w:val="21"/>
          <w:szCs w:val="21"/>
        </w:rPr>
        <w:t>，报价保留小数点后两位。投标总价大小写不一致，以大写为准。投标总价必须准确唯一且应包含招标文件要求的所有费用。</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2、此表应按投标人须知的规定密封标记并与《授权委托书》、《投标保证金汇入情况说明》同密封单独提交。</w:t>
      </w:r>
    </w:p>
    <w:p>
      <w:pPr>
        <w:spacing w:after="0" w:line="360" w:lineRule="auto"/>
        <w:ind w:left="374" w:leftChars="170" w:firstLine="359" w:firstLineChars="171"/>
        <w:rPr>
          <w:rFonts w:ascii="宋体" w:hAnsi="宋体" w:eastAsia="宋体"/>
          <w:color w:val="auto"/>
          <w:sz w:val="21"/>
          <w:szCs w:val="21"/>
        </w:rPr>
      </w:pPr>
      <w:r>
        <w:rPr>
          <w:rFonts w:hint="eastAsia" w:ascii="宋体" w:hAnsi="宋体" w:eastAsia="宋体"/>
          <w:color w:val="auto"/>
          <w:sz w:val="21"/>
          <w:szCs w:val="21"/>
        </w:rPr>
        <w:t>3、未按招标文件要求报价、填写开标一览表是导致投标人废标的常见问题，请投标人仔细填写，认真核对。</w:t>
      </w:r>
    </w:p>
    <w:p>
      <w:pPr>
        <w:adjustRightInd/>
        <w:snapToGrid/>
        <w:spacing w:line="276" w:lineRule="auto"/>
        <w:rPr>
          <w:color w:val="auto"/>
        </w:rPr>
      </w:pPr>
    </w:p>
    <w:p>
      <w:pPr>
        <w:adjustRightInd/>
        <w:snapToGrid/>
        <w:spacing w:line="276" w:lineRule="auto"/>
        <w:rPr>
          <w:color w:val="auto"/>
        </w:rPr>
      </w:pPr>
      <w:r>
        <w:rPr>
          <w:color w:val="auto"/>
        </w:rPr>
        <w:br w:type="page"/>
      </w:r>
    </w:p>
    <w:p>
      <w:pPr>
        <w:pStyle w:val="4"/>
        <w:widowControl w:val="0"/>
        <w:overflowPunct w:val="0"/>
        <w:spacing w:before="0" w:after="0" w:line="240" w:lineRule="auto"/>
        <w:rPr>
          <w:rFonts w:ascii="宋体" w:hAnsi="宋体" w:eastAsia="宋体"/>
          <w:color w:val="auto"/>
          <w:sz w:val="21"/>
          <w:szCs w:val="21"/>
        </w:rPr>
      </w:pPr>
      <w:bookmarkStart w:id="94" w:name="_Toc3254"/>
      <w:r>
        <w:rPr>
          <w:rFonts w:hint="eastAsia" w:ascii="宋体" w:hAnsi="宋体" w:eastAsia="宋体"/>
          <w:color w:val="auto"/>
          <w:sz w:val="21"/>
          <w:szCs w:val="21"/>
        </w:rPr>
        <w:t xml:space="preserve">附件4. </w:t>
      </w:r>
      <w:r>
        <w:rPr>
          <w:rFonts w:hint="eastAsia" w:ascii="宋体" w:hAnsi="宋体" w:eastAsia="宋体" w:cs="Times New Roman"/>
          <w:color w:val="auto"/>
          <w:sz w:val="21"/>
          <w:szCs w:val="21"/>
        </w:rPr>
        <w:t>投标分项报价表格式</w:t>
      </w:r>
      <w:bookmarkEnd w:id="94"/>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货物（服务）分项报价表</w:t>
      </w:r>
      <w:r>
        <w:rPr>
          <w:rFonts w:hint="eastAsia" w:ascii="宋体" w:hAnsi="宋体" w:eastAsia="宋体"/>
          <w:color w:val="auto"/>
          <w:sz w:val="21"/>
          <w:szCs w:val="21"/>
        </w:rPr>
        <w:t xml:space="preserve"> </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377"/>
        <w:gridCol w:w="1917"/>
        <w:gridCol w:w="1050"/>
        <w:gridCol w:w="1100"/>
        <w:gridCol w:w="1183"/>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序号</w:t>
            </w:r>
          </w:p>
        </w:tc>
        <w:tc>
          <w:tcPr>
            <w:tcW w:w="137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货物（服务）名称</w:t>
            </w:r>
          </w:p>
        </w:tc>
        <w:tc>
          <w:tcPr>
            <w:tcW w:w="1917"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规格型号（服务内容）</w:t>
            </w:r>
          </w:p>
        </w:tc>
        <w:tc>
          <w:tcPr>
            <w:tcW w:w="105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数量</w:t>
            </w:r>
          </w:p>
        </w:tc>
        <w:tc>
          <w:tcPr>
            <w:tcW w:w="1100"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单价</w:t>
            </w:r>
          </w:p>
        </w:tc>
        <w:tc>
          <w:tcPr>
            <w:tcW w:w="1183"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服务要求</w:t>
            </w:r>
          </w:p>
        </w:tc>
        <w:tc>
          <w:tcPr>
            <w:tcW w:w="1078" w:type="dxa"/>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1</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2</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817" w:type="dxa"/>
            <w:vAlign w:val="center"/>
          </w:tcPr>
          <w:p>
            <w:pPr>
              <w:widowControl w:val="0"/>
              <w:adjustRightInd/>
              <w:snapToGrid/>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3</w:t>
            </w:r>
          </w:p>
        </w:tc>
        <w:tc>
          <w:tcPr>
            <w:tcW w:w="1377" w:type="dxa"/>
            <w:vAlign w:val="center"/>
          </w:tcPr>
          <w:p>
            <w:pPr>
              <w:spacing w:before="100" w:beforeAutospacing="1" w:after="100" w:afterAutospacing="1"/>
              <w:rPr>
                <w:rFonts w:ascii="宋体" w:hAnsi="宋体" w:eastAsia="宋体"/>
                <w:color w:val="auto"/>
                <w:sz w:val="21"/>
                <w:szCs w:val="21"/>
              </w:rPr>
            </w:pPr>
          </w:p>
        </w:tc>
        <w:tc>
          <w:tcPr>
            <w:tcW w:w="1917" w:type="dxa"/>
            <w:vAlign w:val="center"/>
          </w:tcPr>
          <w:p>
            <w:pPr>
              <w:spacing w:before="100" w:beforeAutospacing="1" w:after="100" w:afterAutospacing="1"/>
              <w:jc w:val="center"/>
              <w:rPr>
                <w:rFonts w:ascii="宋体" w:hAnsi="宋体" w:eastAsia="宋体"/>
                <w:color w:val="auto"/>
                <w:sz w:val="21"/>
                <w:szCs w:val="21"/>
              </w:rPr>
            </w:pPr>
          </w:p>
        </w:tc>
        <w:tc>
          <w:tcPr>
            <w:tcW w:w="1050" w:type="dxa"/>
            <w:vAlign w:val="center"/>
          </w:tcPr>
          <w:p>
            <w:pPr>
              <w:spacing w:before="100" w:beforeAutospacing="1" w:after="100" w:afterAutospacing="1"/>
              <w:jc w:val="center"/>
              <w:rPr>
                <w:rFonts w:ascii="宋体" w:hAnsi="宋体" w:eastAsia="宋体"/>
                <w:color w:val="auto"/>
                <w:sz w:val="21"/>
                <w:szCs w:val="21"/>
              </w:rPr>
            </w:pPr>
          </w:p>
        </w:tc>
        <w:tc>
          <w:tcPr>
            <w:tcW w:w="1100" w:type="dxa"/>
            <w:vAlign w:val="center"/>
          </w:tcPr>
          <w:p>
            <w:pPr>
              <w:spacing w:before="100" w:beforeAutospacing="1" w:after="100" w:afterAutospacing="1"/>
              <w:jc w:val="center"/>
              <w:rPr>
                <w:rFonts w:ascii="宋体" w:hAnsi="宋体" w:eastAsia="宋体"/>
                <w:color w:val="auto"/>
                <w:sz w:val="21"/>
                <w:szCs w:val="21"/>
              </w:rPr>
            </w:pPr>
          </w:p>
        </w:tc>
        <w:tc>
          <w:tcPr>
            <w:tcW w:w="1183" w:type="dxa"/>
            <w:vAlign w:val="center"/>
          </w:tcPr>
          <w:p>
            <w:pPr>
              <w:spacing w:before="100" w:beforeAutospacing="1" w:after="100" w:afterAutospacing="1"/>
              <w:jc w:val="center"/>
              <w:rPr>
                <w:rFonts w:ascii="宋体" w:hAnsi="宋体" w:eastAsia="宋体"/>
                <w:color w:val="auto"/>
                <w:sz w:val="21"/>
                <w:szCs w:val="21"/>
              </w:rPr>
            </w:pPr>
          </w:p>
        </w:tc>
        <w:tc>
          <w:tcPr>
            <w:tcW w:w="1078" w:type="dxa"/>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261" w:type="dxa"/>
            <w:gridSpan w:val="5"/>
            <w:vAlign w:val="center"/>
          </w:tcPr>
          <w:p>
            <w:pPr>
              <w:spacing w:before="100" w:beforeAutospacing="1" w:after="100" w:afterAutospacing="1"/>
              <w:jc w:val="center"/>
              <w:rPr>
                <w:rFonts w:ascii="宋体" w:hAnsi="宋体" w:eastAsia="宋体"/>
                <w:color w:val="auto"/>
                <w:sz w:val="21"/>
                <w:szCs w:val="21"/>
              </w:rPr>
            </w:pPr>
            <w:r>
              <w:rPr>
                <w:rFonts w:hint="eastAsia" w:ascii="宋体" w:hAnsi="宋体" w:eastAsia="宋体"/>
                <w:color w:val="auto"/>
                <w:sz w:val="21"/>
                <w:szCs w:val="21"/>
              </w:rPr>
              <w:t>总价</w:t>
            </w:r>
          </w:p>
        </w:tc>
        <w:tc>
          <w:tcPr>
            <w:tcW w:w="2261" w:type="dxa"/>
            <w:gridSpan w:val="2"/>
            <w:vAlign w:val="center"/>
          </w:tcPr>
          <w:p>
            <w:pPr>
              <w:spacing w:before="100" w:beforeAutospacing="1" w:after="100" w:afterAutospacing="1"/>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8522" w:type="dxa"/>
            <w:gridSpan w:val="7"/>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spacing w:after="0"/>
              <w:rPr>
                <w:rFonts w:ascii="宋体" w:hAnsi="宋体" w:eastAsia="宋体"/>
                <w:color w:val="auto"/>
                <w:sz w:val="21"/>
                <w:szCs w:val="21"/>
              </w:rPr>
            </w:pPr>
            <w:r>
              <w:rPr>
                <w:rFonts w:hint="eastAsia" w:ascii="宋体" w:hAnsi="宋体" w:eastAsia="宋体"/>
                <w:color w:val="auto"/>
                <w:sz w:val="21"/>
                <w:szCs w:val="21"/>
              </w:rPr>
              <w:t>日期：</w:t>
            </w:r>
          </w:p>
        </w:tc>
      </w:tr>
    </w:tbl>
    <w:p>
      <w:pPr>
        <w:rPr>
          <w:rFonts w:ascii="宋体" w:hAnsi="宋体" w:eastAsia="宋体" w:cs="宋体"/>
          <w:b/>
          <w:color w:val="auto"/>
          <w:sz w:val="21"/>
          <w:szCs w:val="21"/>
        </w:rPr>
      </w:pPr>
    </w:p>
    <w:p>
      <w:pPr>
        <w:rPr>
          <w:rFonts w:ascii="宋体" w:hAnsi="宋体" w:eastAsia="宋体" w:cs="宋体"/>
          <w:b/>
          <w:color w:val="auto"/>
          <w:sz w:val="21"/>
          <w:szCs w:val="21"/>
        </w:rPr>
      </w:pPr>
      <w:r>
        <w:rPr>
          <w:rFonts w:hint="eastAsia" w:ascii="宋体" w:hAnsi="宋体" w:eastAsia="宋体" w:cs="宋体"/>
          <w:b/>
          <w:color w:val="auto"/>
          <w:sz w:val="21"/>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小型和微型企业（货物、承担的工程或者服务）列价表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587"/>
        <w:gridCol w:w="1575"/>
        <w:gridCol w:w="1180"/>
        <w:gridCol w:w="778"/>
        <w:gridCol w:w="777"/>
        <w:gridCol w:w="778"/>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58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575" w:type="dxa"/>
            <w:vAlign w:val="center"/>
          </w:tcPr>
          <w:p>
            <w:pPr>
              <w:spacing w:after="0"/>
              <w:ind w:hanging="148"/>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品牌及原产地</w:t>
            </w:r>
          </w:p>
        </w:tc>
        <w:tc>
          <w:tcPr>
            <w:tcW w:w="118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778"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77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778"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972"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587" w:type="dxa"/>
            <w:vAlign w:val="center"/>
          </w:tcPr>
          <w:p>
            <w:pPr>
              <w:spacing w:after="0"/>
              <w:jc w:val="center"/>
              <w:textAlignment w:val="bottom"/>
              <w:rPr>
                <w:rFonts w:ascii="宋体" w:hAnsi="宋体" w:eastAsia="宋体" w:cs="宋体"/>
                <w:color w:val="auto"/>
                <w:sz w:val="21"/>
                <w:szCs w:val="21"/>
              </w:rPr>
            </w:pPr>
          </w:p>
        </w:tc>
        <w:tc>
          <w:tcPr>
            <w:tcW w:w="1575" w:type="dxa"/>
            <w:vAlign w:val="center"/>
          </w:tcPr>
          <w:p>
            <w:pPr>
              <w:spacing w:after="0"/>
              <w:jc w:val="center"/>
              <w:textAlignment w:val="bottom"/>
              <w:rPr>
                <w:rFonts w:ascii="宋体" w:hAnsi="宋体" w:eastAsia="宋体" w:cs="宋体"/>
                <w:color w:val="auto"/>
                <w:sz w:val="21"/>
                <w:szCs w:val="21"/>
              </w:rPr>
            </w:pPr>
          </w:p>
        </w:tc>
        <w:tc>
          <w:tcPr>
            <w:tcW w:w="1180"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777" w:type="dxa"/>
            <w:vAlign w:val="center"/>
          </w:tcPr>
          <w:p>
            <w:pPr>
              <w:spacing w:after="0"/>
              <w:jc w:val="center"/>
              <w:textAlignment w:val="bottom"/>
              <w:rPr>
                <w:rFonts w:ascii="宋体" w:hAnsi="宋体" w:eastAsia="宋体" w:cs="宋体"/>
                <w:color w:val="auto"/>
                <w:sz w:val="21"/>
                <w:szCs w:val="21"/>
              </w:rPr>
            </w:pPr>
          </w:p>
        </w:tc>
        <w:tc>
          <w:tcPr>
            <w:tcW w:w="778" w:type="dxa"/>
            <w:vAlign w:val="center"/>
          </w:tcPr>
          <w:p>
            <w:pPr>
              <w:spacing w:after="0"/>
              <w:jc w:val="center"/>
              <w:textAlignment w:val="bottom"/>
              <w:rPr>
                <w:rFonts w:ascii="宋体" w:hAnsi="宋体" w:eastAsia="宋体" w:cs="宋体"/>
                <w:color w:val="auto"/>
                <w:sz w:val="21"/>
                <w:szCs w:val="21"/>
              </w:rPr>
            </w:pPr>
          </w:p>
        </w:tc>
        <w:tc>
          <w:tcPr>
            <w:tcW w:w="972"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462" w:type="dxa"/>
            <w:gridSpan w:val="2"/>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060" w:type="dxa"/>
            <w:gridSpan w:val="6"/>
            <w:vAlign w:val="center"/>
          </w:tcPr>
          <w:p>
            <w:pPr>
              <w:spacing w:after="0"/>
              <w:rPr>
                <w:rFonts w:ascii="宋体" w:hAnsi="宋体" w:eastAsia="宋体" w:cs="宋体"/>
                <w:color w:val="auto"/>
                <w:sz w:val="21"/>
                <w:szCs w:val="21"/>
              </w:rPr>
            </w:pPr>
            <w:r>
              <w:rPr>
                <w:rStyle w:val="34"/>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注：1、投标人在“货物（服务）分项报价表”中的报价内容中，如有属于</w:t>
            </w:r>
            <w:r>
              <w:rPr>
                <w:rFonts w:hint="eastAsia" w:ascii="宋体" w:hAnsi="宋体" w:eastAsia="宋体" w:cs="宋体"/>
                <w:b/>
                <w:color w:val="auto"/>
                <w:sz w:val="21"/>
                <w:szCs w:val="21"/>
              </w:rPr>
              <w:t>小型和微型企业产品（货物、承担的工程或者服务）的，必须在此表单独列明，否则在计算价格得分时不予以相应的扣除</w:t>
            </w:r>
            <w:r>
              <w:rPr>
                <w:rStyle w:val="34"/>
                <w:rFonts w:hint="eastAsia" w:ascii="宋体" w:hAnsi="宋体" w:eastAsia="宋体" w:cs="宋体"/>
                <w:b/>
                <w:color w:val="auto"/>
                <w:sz w:val="21"/>
                <w:szCs w:val="21"/>
              </w:rPr>
              <w:t>；</w:t>
            </w:r>
          </w:p>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2、投标人应该如实填写，如投标人所投产品中无小型和微型企业产品的，请留空或删除此表！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tabs>
                <w:tab w:val="left" w:pos="284"/>
              </w:tabs>
              <w:spacing w:after="0"/>
              <w:rPr>
                <w:rStyle w:val="34"/>
                <w:rFonts w:ascii="宋体" w:hAnsi="宋体" w:eastAsia="宋体" w:cs="宋体"/>
                <w:b/>
                <w:color w:val="auto"/>
                <w:sz w:val="21"/>
                <w:szCs w:val="21"/>
              </w:rPr>
            </w:pPr>
            <w:r>
              <w:rPr>
                <w:rFonts w:hint="eastAsia" w:ascii="宋体" w:hAnsi="宋体" w:eastAsia="宋体"/>
                <w:color w:val="auto"/>
                <w:sz w:val="21"/>
                <w:szCs w:val="21"/>
              </w:rPr>
              <w:t>日期：</w:t>
            </w:r>
          </w:p>
        </w:tc>
      </w:tr>
    </w:tbl>
    <w:p>
      <w:pPr>
        <w:pStyle w:val="24"/>
        <w:spacing w:after="0" w:line="360" w:lineRule="auto"/>
        <w:ind w:firstLine="0" w:firstLineChars="0"/>
        <w:rPr>
          <w:rFonts w:ascii="宋体" w:hAnsi="宋体" w:eastAsia="宋体"/>
          <w:color w:val="auto"/>
          <w:sz w:val="21"/>
          <w:szCs w:val="21"/>
        </w:rPr>
      </w:pPr>
      <w:r>
        <w:rPr>
          <w:rFonts w:hint="eastAsia" w:ascii="宋体" w:hAnsi="宋体" w:eastAsia="宋体"/>
          <w:color w:val="auto"/>
          <w:sz w:val="21"/>
          <w:szCs w:val="21"/>
        </w:rPr>
        <w:br w:type="page"/>
      </w:r>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节能产品或环境标志产品列价表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1381"/>
        <w:gridCol w:w="1316"/>
        <w:gridCol w:w="1067"/>
        <w:gridCol w:w="1150"/>
        <w:gridCol w:w="850"/>
        <w:gridCol w:w="833"/>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序号</w:t>
            </w:r>
          </w:p>
        </w:tc>
        <w:tc>
          <w:tcPr>
            <w:tcW w:w="1381"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货物名称</w:t>
            </w:r>
          </w:p>
        </w:tc>
        <w:tc>
          <w:tcPr>
            <w:tcW w:w="1316"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规格型号</w:t>
            </w:r>
          </w:p>
        </w:tc>
        <w:tc>
          <w:tcPr>
            <w:tcW w:w="1067"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数量</w:t>
            </w:r>
          </w:p>
        </w:tc>
        <w:tc>
          <w:tcPr>
            <w:tcW w:w="11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单价</w:t>
            </w:r>
          </w:p>
        </w:tc>
        <w:tc>
          <w:tcPr>
            <w:tcW w:w="8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总价</w:t>
            </w:r>
          </w:p>
        </w:tc>
        <w:tc>
          <w:tcPr>
            <w:tcW w:w="833"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备注</w:t>
            </w:r>
          </w:p>
        </w:tc>
        <w:tc>
          <w:tcPr>
            <w:tcW w:w="1050"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1</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2</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3</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875" w:type="dxa"/>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w:t>
            </w:r>
          </w:p>
        </w:tc>
        <w:tc>
          <w:tcPr>
            <w:tcW w:w="1381" w:type="dxa"/>
            <w:vAlign w:val="center"/>
          </w:tcPr>
          <w:p>
            <w:pPr>
              <w:spacing w:after="0"/>
              <w:jc w:val="center"/>
              <w:textAlignment w:val="bottom"/>
              <w:rPr>
                <w:rFonts w:ascii="宋体" w:hAnsi="宋体" w:eastAsia="宋体" w:cs="宋体"/>
                <w:color w:val="auto"/>
                <w:sz w:val="21"/>
                <w:szCs w:val="21"/>
              </w:rPr>
            </w:pPr>
          </w:p>
        </w:tc>
        <w:tc>
          <w:tcPr>
            <w:tcW w:w="1316" w:type="dxa"/>
            <w:vAlign w:val="center"/>
          </w:tcPr>
          <w:p>
            <w:pPr>
              <w:spacing w:after="0"/>
              <w:jc w:val="center"/>
              <w:textAlignment w:val="bottom"/>
              <w:rPr>
                <w:rFonts w:ascii="宋体" w:hAnsi="宋体" w:eastAsia="宋体" w:cs="宋体"/>
                <w:color w:val="auto"/>
                <w:sz w:val="21"/>
                <w:szCs w:val="21"/>
              </w:rPr>
            </w:pPr>
          </w:p>
        </w:tc>
        <w:tc>
          <w:tcPr>
            <w:tcW w:w="1067" w:type="dxa"/>
            <w:vAlign w:val="center"/>
          </w:tcPr>
          <w:p>
            <w:pPr>
              <w:spacing w:after="0"/>
              <w:jc w:val="center"/>
              <w:textAlignment w:val="bottom"/>
              <w:rPr>
                <w:rFonts w:ascii="宋体" w:hAnsi="宋体" w:eastAsia="宋体" w:cs="宋体"/>
                <w:color w:val="auto"/>
                <w:sz w:val="21"/>
                <w:szCs w:val="21"/>
              </w:rPr>
            </w:pPr>
          </w:p>
        </w:tc>
        <w:tc>
          <w:tcPr>
            <w:tcW w:w="1150" w:type="dxa"/>
            <w:vAlign w:val="center"/>
          </w:tcPr>
          <w:p>
            <w:pPr>
              <w:spacing w:after="0"/>
              <w:jc w:val="center"/>
              <w:textAlignment w:val="bottom"/>
              <w:rPr>
                <w:rFonts w:ascii="宋体" w:hAnsi="宋体" w:eastAsia="宋体" w:cs="宋体"/>
                <w:color w:val="auto"/>
                <w:sz w:val="21"/>
                <w:szCs w:val="21"/>
              </w:rPr>
            </w:pPr>
          </w:p>
        </w:tc>
        <w:tc>
          <w:tcPr>
            <w:tcW w:w="850" w:type="dxa"/>
            <w:vAlign w:val="center"/>
          </w:tcPr>
          <w:p>
            <w:pPr>
              <w:spacing w:after="0"/>
              <w:jc w:val="center"/>
              <w:textAlignment w:val="bottom"/>
              <w:rPr>
                <w:rFonts w:ascii="宋体" w:hAnsi="宋体" w:eastAsia="宋体" w:cs="宋体"/>
                <w:color w:val="auto"/>
                <w:sz w:val="21"/>
                <w:szCs w:val="21"/>
              </w:rPr>
            </w:pPr>
          </w:p>
        </w:tc>
        <w:tc>
          <w:tcPr>
            <w:tcW w:w="833" w:type="dxa"/>
            <w:vAlign w:val="center"/>
          </w:tcPr>
          <w:p>
            <w:pPr>
              <w:spacing w:after="0"/>
              <w:jc w:val="center"/>
              <w:textAlignment w:val="bottom"/>
              <w:rPr>
                <w:rFonts w:ascii="宋体" w:hAnsi="宋体" w:eastAsia="宋体" w:cs="宋体"/>
                <w:color w:val="auto"/>
                <w:sz w:val="21"/>
                <w:szCs w:val="21"/>
              </w:rPr>
            </w:pPr>
          </w:p>
        </w:tc>
        <w:tc>
          <w:tcPr>
            <w:tcW w:w="1050" w:type="dxa"/>
            <w:vAlign w:val="center"/>
          </w:tcPr>
          <w:p>
            <w:pPr>
              <w:spacing w:after="0"/>
              <w:jc w:val="center"/>
              <w:textAlignment w:val="bottom"/>
              <w:rPr>
                <w:rFonts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2256" w:type="dxa"/>
            <w:gridSpan w:val="2"/>
            <w:vAlign w:val="center"/>
          </w:tcPr>
          <w:p>
            <w:pPr>
              <w:spacing w:after="0"/>
              <w:jc w:val="center"/>
              <w:textAlignment w:val="bottom"/>
              <w:rPr>
                <w:rFonts w:ascii="宋体" w:hAnsi="宋体" w:eastAsia="宋体" w:cs="宋体"/>
                <w:color w:val="auto"/>
                <w:sz w:val="21"/>
                <w:szCs w:val="21"/>
              </w:rPr>
            </w:pPr>
            <w:r>
              <w:rPr>
                <w:rFonts w:hint="eastAsia" w:ascii="宋体" w:hAnsi="宋体" w:eastAsia="宋体" w:cs="宋体"/>
                <w:color w:val="auto"/>
                <w:sz w:val="21"/>
                <w:szCs w:val="21"/>
              </w:rPr>
              <w:t>总计</w:t>
            </w:r>
          </w:p>
        </w:tc>
        <w:tc>
          <w:tcPr>
            <w:tcW w:w="6266" w:type="dxa"/>
            <w:gridSpan w:val="6"/>
            <w:vAlign w:val="center"/>
          </w:tcPr>
          <w:p>
            <w:pPr>
              <w:spacing w:after="0"/>
              <w:rPr>
                <w:rFonts w:ascii="宋体" w:hAnsi="宋体" w:eastAsia="宋体" w:cs="宋体"/>
                <w:color w:val="auto"/>
                <w:sz w:val="21"/>
                <w:szCs w:val="21"/>
              </w:rPr>
            </w:pPr>
            <w:r>
              <w:rPr>
                <w:rStyle w:val="34"/>
                <w:rFonts w:hint="eastAsia" w:ascii="宋体" w:hAnsi="宋体" w:eastAsia="宋体" w:cs="宋体"/>
                <w:color w:val="auto"/>
                <w:sz w:val="21"/>
                <w:szCs w:val="21"/>
              </w:rPr>
              <w:t>￥    元（大写人民币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8" w:hRule="atLeast"/>
        </w:trPr>
        <w:tc>
          <w:tcPr>
            <w:tcW w:w="8522" w:type="dxa"/>
            <w:gridSpan w:val="8"/>
            <w:vAlign w:val="center"/>
          </w:tcPr>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注：1、投标人在“货物（服务）分项报价表”中的报价内容中，如有属于节能产品或环境标志产的，必须在此表单独列明且提供相应的证明材料，否则在计算价格得分时不予以相应的扣除；</w:t>
            </w:r>
          </w:p>
          <w:p>
            <w:pPr>
              <w:tabs>
                <w:tab w:val="left" w:pos="284"/>
              </w:tabs>
              <w:spacing w:after="0"/>
              <w:rPr>
                <w:rStyle w:val="34"/>
                <w:rFonts w:ascii="宋体" w:hAnsi="宋体" w:eastAsia="宋体" w:cs="宋体"/>
                <w:b/>
                <w:color w:val="auto"/>
                <w:sz w:val="21"/>
                <w:szCs w:val="21"/>
              </w:rPr>
            </w:pPr>
            <w:r>
              <w:rPr>
                <w:rStyle w:val="34"/>
                <w:rFonts w:hint="eastAsia" w:ascii="宋体" w:hAnsi="宋体" w:eastAsia="宋体" w:cs="宋体"/>
                <w:b/>
                <w:color w:val="auto"/>
                <w:sz w:val="21"/>
                <w:szCs w:val="21"/>
              </w:rPr>
              <w:t>2、投标人应该如实填写，如投标人所投产品中无节能或环保产品的，请留空或删除此表！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67" w:hRule="atLeast"/>
        </w:trPr>
        <w:tc>
          <w:tcPr>
            <w:tcW w:w="8522" w:type="dxa"/>
            <w:gridSpan w:val="8"/>
            <w:vAlign w:val="center"/>
          </w:tcPr>
          <w:p>
            <w:pPr>
              <w:spacing w:after="0"/>
              <w:rPr>
                <w:rFonts w:ascii="宋体" w:hAnsi="宋体" w:eastAsia="宋体"/>
                <w:color w:val="auto"/>
                <w:sz w:val="21"/>
                <w:szCs w:val="21"/>
              </w:rPr>
            </w:pPr>
            <w:r>
              <w:rPr>
                <w:rFonts w:hint="eastAsia" w:ascii="宋体" w:hAnsi="宋体" w:eastAsia="宋体"/>
                <w:color w:val="auto"/>
                <w:sz w:val="21"/>
                <w:szCs w:val="21"/>
              </w:rPr>
              <w:t>投标人代表签字：</w:t>
            </w:r>
          </w:p>
          <w:p>
            <w:pPr>
              <w:spacing w:after="0"/>
              <w:rPr>
                <w:rFonts w:ascii="宋体" w:hAnsi="宋体" w:eastAsia="宋体"/>
                <w:color w:val="auto"/>
                <w:sz w:val="21"/>
                <w:szCs w:val="21"/>
              </w:rPr>
            </w:pPr>
            <w:r>
              <w:rPr>
                <w:rFonts w:hint="eastAsia" w:ascii="宋体" w:hAnsi="宋体" w:eastAsia="宋体"/>
                <w:color w:val="auto"/>
                <w:sz w:val="21"/>
                <w:szCs w:val="21"/>
              </w:rPr>
              <w:t>投标人盖章：</w:t>
            </w:r>
          </w:p>
          <w:p>
            <w:pPr>
              <w:tabs>
                <w:tab w:val="left" w:pos="284"/>
              </w:tabs>
              <w:spacing w:after="0"/>
              <w:rPr>
                <w:rStyle w:val="34"/>
                <w:rFonts w:ascii="宋体" w:hAnsi="宋体" w:eastAsia="宋体" w:cs="宋体"/>
                <w:b/>
                <w:color w:val="auto"/>
                <w:sz w:val="21"/>
                <w:szCs w:val="21"/>
              </w:rPr>
            </w:pPr>
            <w:r>
              <w:rPr>
                <w:rFonts w:hint="eastAsia" w:ascii="宋体" w:hAnsi="宋体" w:eastAsia="宋体"/>
                <w:color w:val="auto"/>
                <w:sz w:val="21"/>
                <w:szCs w:val="21"/>
              </w:rPr>
              <w:t>日期：</w:t>
            </w:r>
          </w:p>
        </w:tc>
      </w:tr>
    </w:tbl>
    <w:p>
      <w:pPr>
        <w:jc w:val="both"/>
        <w:rPr>
          <w:rFonts w:ascii="宋体" w:hAnsi="宋体" w:eastAsia="宋体"/>
          <w:color w:val="auto"/>
          <w:sz w:val="21"/>
          <w:szCs w:val="21"/>
        </w:rPr>
      </w:pP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95" w:name="_Toc16412"/>
      <w:r>
        <w:rPr>
          <w:rFonts w:hint="eastAsia" w:ascii="宋体" w:hAnsi="宋体" w:eastAsia="宋体"/>
          <w:color w:val="auto"/>
          <w:sz w:val="21"/>
          <w:szCs w:val="21"/>
        </w:rPr>
        <w:t>附件5. 法定代表人证明书格式</w:t>
      </w:r>
      <w:bookmarkEnd w:id="95"/>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法定代表人证明书</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致：三方诚信招标有限公司东莞分公司</w:t>
      </w:r>
    </w:p>
    <w:p>
      <w:pPr>
        <w:pStyle w:val="27"/>
        <w:spacing w:line="420" w:lineRule="atLeast"/>
        <w:ind w:firstLine="433"/>
        <w:rPr>
          <w:rFonts w:ascii="宋体" w:eastAsia="宋体"/>
          <w:color w:val="auto"/>
          <w:sz w:val="21"/>
          <w:szCs w:val="21"/>
        </w:rPr>
      </w:pP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投标人名称:</w:t>
      </w: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单 位 性质：</w:t>
      </w:r>
    </w:p>
    <w:p>
      <w:pPr>
        <w:pStyle w:val="27"/>
        <w:spacing w:line="420" w:lineRule="atLeast"/>
        <w:ind w:firstLine="433"/>
        <w:rPr>
          <w:rFonts w:ascii="宋体" w:eastAsia="宋体"/>
          <w:color w:val="auto"/>
          <w:sz w:val="21"/>
          <w:szCs w:val="21"/>
          <w:u w:val="single"/>
        </w:rPr>
      </w:pPr>
      <w:r>
        <w:rPr>
          <w:rFonts w:hint="eastAsia" w:ascii="宋体" w:eastAsia="宋体"/>
          <w:color w:val="auto"/>
          <w:sz w:val="21"/>
          <w:szCs w:val="21"/>
        </w:rPr>
        <w:t>地      址：</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成 立 时间：</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经 营 期限：</w:t>
      </w:r>
      <w:r>
        <w:rPr>
          <w:rFonts w:hint="eastAsia" w:ascii="宋体" w:eastAsia="宋体"/>
          <w:color w:val="auto"/>
          <w:sz w:val="21"/>
          <w:szCs w:val="21"/>
          <w:u w:val="single"/>
        </w:rPr>
        <w:t xml:space="preserve">                                      </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姓名：</w:t>
      </w:r>
      <w:r>
        <w:rPr>
          <w:rFonts w:hint="eastAsia" w:ascii="宋体" w:eastAsia="宋体"/>
          <w:color w:val="auto"/>
          <w:sz w:val="21"/>
          <w:szCs w:val="21"/>
          <w:u w:val="single"/>
        </w:rPr>
        <w:t xml:space="preserve">            </w:t>
      </w:r>
      <w:r>
        <w:rPr>
          <w:rFonts w:hint="eastAsia" w:ascii="宋体" w:eastAsia="宋体"/>
          <w:color w:val="auto"/>
          <w:sz w:val="21"/>
          <w:szCs w:val="21"/>
        </w:rPr>
        <w:t>性别：</w:t>
      </w:r>
      <w:r>
        <w:rPr>
          <w:rFonts w:hint="eastAsia" w:ascii="宋体" w:eastAsia="宋体"/>
          <w:color w:val="auto"/>
          <w:sz w:val="21"/>
          <w:szCs w:val="21"/>
          <w:u w:val="single"/>
        </w:rPr>
        <w:t xml:space="preserve">            </w:t>
      </w:r>
      <w:r>
        <w:rPr>
          <w:rFonts w:hint="eastAsia" w:ascii="宋体" w:eastAsia="宋体"/>
          <w:color w:val="auto"/>
          <w:sz w:val="21"/>
          <w:szCs w:val="21"/>
        </w:rPr>
        <w:t>年龄：</w:t>
      </w:r>
      <w:r>
        <w:rPr>
          <w:rFonts w:hint="eastAsia" w:ascii="宋体" w:eastAsia="宋体"/>
          <w:color w:val="auto"/>
          <w:sz w:val="21"/>
          <w:szCs w:val="21"/>
          <w:u w:val="single"/>
        </w:rPr>
        <w:t xml:space="preserve">            </w:t>
      </w: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7"/>
        <w:spacing w:line="420" w:lineRule="atLeast"/>
        <w:ind w:firstLine="433"/>
        <w:rPr>
          <w:rFonts w:ascii="宋体" w:eastAsia="宋体"/>
          <w:color w:val="auto"/>
          <w:sz w:val="21"/>
          <w:szCs w:val="21"/>
        </w:rPr>
      </w:pPr>
      <w:r>
        <w:rPr>
          <w:rFonts w:hint="eastAsia" w:ascii="宋体" w:eastAsia="宋体"/>
          <w:color w:val="auto"/>
          <w:sz w:val="21"/>
          <w:szCs w:val="21"/>
        </w:rPr>
        <w:t>系</w:t>
      </w:r>
      <w:r>
        <w:rPr>
          <w:rFonts w:hint="eastAsia" w:ascii="宋体" w:eastAsia="宋体"/>
          <w:color w:val="auto"/>
          <w:sz w:val="21"/>
          <w:szCs w:val="21"/>
          <w:u w:val="single"/>
        </w:rPr>
        <w:t xml:space="preserve">                                </w:t>
      </w:r>
      <w:r>
        <w:rPr>
          <w:rFonts w:hint="eastAsia" w:ascii="宋体" w:eastAsia="宋体"/>
          <w:color w:val="auto"/>
          <w:sz w:val="21"/>
          <w:szCs w:val="21"/>
        </w:rPr>
        <w:t>（投标人名称）的法定代表人。</w:t>
      </w:r>
    </w:p>
    <w:p>
      <w:pPr>
        <w:spacing w:line="420" w:lineRule="atLeast"/>
        <w:ind w:firstLine="420" w:firstLineChars="200"/>
        <w:rPr>
          <w:rFonts w:ascii="宋体" w:hAnsi="宋体" w:eastAsia="宋体"/>
          <w:color w:val="auto"/>
          <w:sz w:val="21"/>
          <w:szCs w:val="21"/>
        </w:rPr>
      </w:pPr>
      <w:r>
        <w:rPr>
          <w:rFonts w:hint="eastAsia" w:ascii="宋体" w:hAnsi="宋体" w:eastAsia="宋体"/>
          <w:color w:val="auto"/>
          <w:sz w:val="21"/>
          <w:szCs w:val="21"/>
        </w:rPr>
        <w:t>特此证明。</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法定代表人（签名或盖私章）：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法定代表人联系方式：</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身份证号码：</w:t>
      </w:r>
      <w:r>
        <w:rPr>
          <w:rFonts w:hint="eastAsia" w:ascii="宋体" w:eastAsia="宋体"/>
          <w:color w:val="auto"/>
          <w:sz w:val="21"/>
          <w:szCs w:val="21"/>
          <w:u w:val="single"/>
        </w:rPr>
        <w:t xml:space="preserve">                              </w:t>
      </w:r>
    </w:p>
    <w:p>
      <w:pPr>
        <w:pStyle w:val="27"/>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ind w:firstLine="420" w:firstLineChars="200"/>
        <w:rPr>
          <w:rFonts w:ascii="宋体" w:hAnsi="宋体" w:eastAsia="宋体"/>
          <w:color w:val="auto"/>
          <w:sz w:val="21"/>
          <w:szCs w:val="21"/>
        </w:rPr>
      </w:pPr>
    </w:p>
    <w:p>
      <w:pPr>
        <w:ind w:firstLine="420" w:firstLineChars="200"/>
        <w:rPr>
          <w:rFonts w:ascii="宋体" w:hAnsi="宋体" w:eastAsia="宋体"/>
          <w:color w:val="auto"/>
          <w:sz w:val="21"/>
          <w:szCs w:val="21"/>
        </w:rPr>
      </w:pPr>
      <w:r>
        <w:rPr>
          <w:rFonts w:hint="eastAsia" w:ascii="宋体" w:hAnsi="宋体" w:eastAsia="宋体"/>
          <w:color w:val="auto"/>
          <w:sz w:val="21"/>
          <w:szCs w:val="21"/>
        </w:rPr>
        <w:t>注：法定代表人身份证明书需附法人代表身份证复印件。</w:t>
      </w:r>
    </w:p>
    <w:tbl>
      <w:tblPr>
        <w:tblStyle w:val="16"/>
        <w:tblW w:w="83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82"/>
        <w:gridCol w:w="418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17" w:hRule="atLeast"/>
          <w:jc w:val="center"/>
        </w:trPr>
        <w:tc>
          <w:tcPr>
            <w:tcW w:w="418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18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rPr>
          <w:color w:val="auto"/>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4"/>
        <w:widowControl w:val="0"/>
        <w:overflowPunct w:val="0"/>
        <w:spacing w:before="0" w:after="0" w:line="240" w:lineRule="auto"/>
        <w:rPr>
          <w:color w:val="auto"/>
        </w:rPr>
      </w:pPr>
      <w:bookmarkStart w:id="96" w:name="_Toc31205"/>
      <w:r>
        <w:rPr>
          <w:rFonts w:hint="eastAsia" w:ascii="宋体" w:hAnsi="宋体" w:eastAsia="宋体"/>
          <w:color w:val="auto"/>
          <w:sz w:val="21"/>
          <w:szCs w:val="21"/>
        </w:rPr>
        <w:t>附件6.法定代表人授权书格式</w:t>
      </w:r>
      <w:bookmarkEnd w:id="96"/>
    </w:p>
    <w:p>
      <w:pPr>
        <w:rPr>
          <w:color w:val="auto"/>
        </w:rPr>
      </w:pPr>
    </w:p>
    <w:p>
      <w:pPr>
        <w:jc w:val="center"/>
        <w:rPr>
          <w:rFonts w:ascii="黑体" w:eastAsia="黑体"/>
          <w:color w:val="auto"/>
          <w:sz w:val="28"/>
          <w:szCs w:val="28"/>
        </w:rPr>
      </w:pPr>
      <w:r>
        <w:rPr>
          <w:rFonts w:hint="eastAsia" w:ascii="黑体" w:eastAsia="黑体"/>
          <w:color w:val="auto"/>
          <w:sz w:val="28"/>
          <w:szCs w:val="28"/>
        </w:rPr>
        <w:t>法定代表人授权书</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致：三方诚信招标有限公司东莞分公司</w:t>
      </w:r>
    </w:p>
    <w:p>
      <w:pPr>
        <w:pStyle w:val="27"/>
        <w:spacing w:line="420" w:lineRule="atLeast"/>
        <w:ind w:firstLine="433"/>
        <w:rPr>
          <w:rFonts w:ascii="宋体" w:eastAsia="宋体"/>
          <w:color w:val="auto"/>
          <w:sz w:val="21"/>
          <w:szCs w:val="21"/>
        </w:rPr>
      </w:pPr>
    </w:p>
    <w:p>
      <w:pPr>
        <w:spacing w:after="0" w:line="360" w:lineRule="auto"/>
        <w:ind w:firstLine="420" w:firstLineChars="200"/>
        <w:rPr>
          <w:rFonts w:ascii="宋体" w:hAnsi="宋体" w:eastAsia="宋体" w:cs="Times New Roman"/>
          <w:color w:val="auto"/>
          <w:sz w:val="21"/>
          <w:szCs w:val="21"/>
        </w:rPr>
      </w:pPr>
      <w:r>
        <w:rPr>
          <w:rFonts w:hint="eastAsia" w:ascii="宋体" w:hAnsi="宋体" w:eastAsia="宋体" w:cs="Times New Roman"/>
          <w:color w:val="auto"/>
          <w:sz w:val="21"/>
          <w:szCs w:val="21"/>
        </w:rPr>
        <w:t>本授权书声明：注册于</w:t>
      </w:r>
      <w:r>
        <w:rPr>
          <w:rFonts w:hint="eastAsia" w:ascii="宋体" w:hAnsi="宋体" w:eastAsia="宋体" w:cs="Times New Roman"/>
          <w:color w:val="auto"/>
          <w:sz w:val="21"/>
          <w:szCs w:val="21"/>
          <w:u w:val="single"/>
        </w:rPr>
        <w:t>（国家或地区的名称）</w:t>
      </w:r>
      <w:r>
        <w:rPr>
          <w:rFonts w:hint="eastAsia" w:ascii="宋体" w:hAnsi="宋体" w:eastAsia="宋体" w:cs="Times New Roman"/>
          <w:color w:val="auto"/>
          <w:sz w:val="21"/>
          <w:szCs w:val="21"/>
        </w:rPr>
        <w:t>的</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（法定代表人姓名、职务）</w:t>
      </w:r>
      <w:r>
        <w:rPr>
          <w:rFonts w:hint="eastAsia" w:ascii="宋体" w:hAnsi="宋体" w:eastAsia="宋体" w:cs="Times New Roman"/>
          <w:color w:val="auto"/>
          <w:sz w:val="21"/>
          <w:szCs w:val="21"/>
        </w:rPr>
        <w:t>代表本单位授权</w:t>
      </w:r>
      <w:r>
        <w:rPr>
          <w:rFonts w:hint="eastAsia" w:ascii="宋体" w:hAnsi="宋体" w:eastAsia="宋体" w:cs="Times New Roman"/>
          <w:color w:val="auto"/>
          <w:sz w:val="21"/>
          <w:szCs w:val="21"/>
          <w:u w:val="single"/>
        </w:rPr>
        <w:t>（单位名称）</w:t>
      </w:r>
      <w:r>
        <w:rPr>
          <w:rFonts w:hint="eastAsia" w:ascii="宋体" w:hAnsi="宋体" w:eastAsia="宋体" w:cs="Times New Roman"/>
          <w:color w:val="auto"/>
          <w:sz w:val="21"/>
          <w:szCs w:val="21"/>
        </w:rPr>
        <w:t>的在下面签字的</w:t>
      </w:r>
      <w:r>
        <w:rPr>
          <w:rFonts w:hint="eastAsia" w:ascii="宋体" w:hAnsi="宋体" w:eastAsia="宋体" w:cs="Times New Roman"/>
          <w:color w:val="auto"/>
          <w:sz w:val="21"/>
          <w:szCs w:val="21"/>
          <w:u w:val="single"/>
        </w:rPr>
        <w:t>（被授权人的姓名、职务）</w:t>
      </w:r>
      <w:r>
        <w:rPr>
          <w:rFonts w:hint="eastAsia" w:ascii="宋体" w:hAnsi="宋体" w:eastAsia="宋体" w:cs="Times New Roman"/>
          <w:color w:val="auto"/>
          <w:sz w:val="21"/>
          <w:szCs w:val="21"/>
        </w:rPr>
        <w:t>为本单位的合法代理人，就</w:t>
      </w:r>
      <w:r>
        <w:rPr>
          <w:rFonts w:hint="eastAsia" w:ascii="宋体" w:hAnsi="宋体" w:eastAsia="宋体" w:cs="Times New Roman"/>
          <w:color w:val="auto"/>
          <w:sz w:val="21"/>
          <w:szCs w:val="21"/>
          <w:u w:val="single"/>
        </w:rPr>
        <w:t>（项目名称）</w:t>
      </w:r>
      <w:r>
        <w:rPr>
          <w:rFonts w:hint="eastAsia" w:ascii="宋体" w:hAnsi="宋体" w:eastAsia="宋体" w:cs="Times New Roman"/>
          <w:color w:val="auto"/>
          <w:sz w:val="21"/>
          <w:szCs w:val="21"/>
        </w:rPr>
        <w:t>投标及参加项目谈判，以本单位名义处理一切与之有关的事务。</w:t>
      </w:r>
    </w:p>
    <w:p>
      <w:pPr>
        <w:spacing w:after="0" w:line="360" w:lineRule="auto"/>
        <w:ind w:firstLine="315" w:firstLineChars="150"/>
        <w:rPr>
          <w:rFonts w:ascii="宋体" w:hAnsi="宋体" w:eastAsia="宋体" w:cs="Times New Roman"/>
          <w:color w:val="auto"/>
          <w:sz w:val="21"/>
          <w:szCs w:val="21"/>
        </w:rPr>
      </w:pPr>
      <w:r>
        <w:rPr>
          <w:rFonts w:hint="eastAsia" w:ascii="宋体" w:hAnsi="宋体" w:eastAsia="宋体" w:cs="Times New Roman"/>
          <w:color w:val="auto"/>
          <w:sz w:val="21"/>
          <w:szCs w:val="21"/>
        </w:rPr>
        <w:t>本授权书于</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u w:val="single"/>
        </w:rPr>
        <w:t>　　</w:t>
      </w:r>
      <w:r>
        <w:rPr>
          <w:rFonts w:hint="eastAsia" w:ascii="宋体" w:hAnsi="宋体" w:eastAsia="宋体" w:cs="Times New Roman"/>
          <w:color w:val="auto"/>
          <w:sz w:val="21"/>
          <w:szCs w:val="21"/>
        </w:rPr>
        <w:t>日签字生效，特此声明。</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被授权人签字：</w:t>
      </w:r>
    </w:p>
    <w:p>
      <w:pPr>
        <w:pStyle w:val="27"/>
        <w:spacing w:line="500" w:lineRule="atLeast"/>
        <w:ind w:firstLine="3517" w:firstLineChars="1675"/>
        <w:rPr>
          <w:rFonts w:ascii="宋体" w:eastAsia="宋体"/>
          <w:color w:val="auto"/>
          <w:sz w:val="21"/>
          <w:szCs w:val="21"/>
          <w:u w:val="single"/>
        </w:rPr>
      </w:pPr>
      <w:r>
        <w:rPr>
          <w:rFonts w:hint="eastAsia" w:ascii="宋体" w:eastAsia="宋体"/>
          <w:color w:val="auto"/>
          <w:sz w:val="21"/>
          <w:szCs w:val="21"/>
        </w:rPr>
        <w:t>职务：</w:t>
      </w:r>
      <w:r>
        <w:rPr>
          <w:rFonts w:hint="eastAsia" w:ascii="宋体" w:eastAsia="宋体"/>
          <w:color w:val="auto"/>
          <w:sz w:val="21"/>
          <w:szCs w:val="21"/>
          <w:u w:val="single"/>
        </w:rPr>
        <w:t xml:space="preserve">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移动电话： </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详细通讯地址：</w:t>
      </w:r>
    </w:p>
    <w:p>
      <w:pPr>
        <w:pStyle w:val="27"/>
        <w:spacing w:line="500" w:lineRule="atLeast"/>
        <w:ind w:firstLine="3517" w:firstLineChars="1675"/>
        <w:rPr>
          <w:rFonts w:ascii="宋体" w:eastAsia="宋体"/>
          <w:color w:val="auto"/>
          <w:sz w:val="21"/>
          <w:szCs w:val="21"/>
        </w:rPr>
      </w:pPr>
      <w:r>
        <w:rPr>
          <w:rFonts w:hint="eastAsia" w:ascii="宋体" w:eastAsia="宋体"/>
          <w:color w:val="auto"/>
          <w:sz w:val="21"/>
          <w:szCs w:val="21"/>
        </w:rPr>
        <w:t xml:space="preserve">邮箱：                          </w:t>
      </w:r>
    </w:p>
    <w:p>
      <w:pPr>
        <w:pStyle w:val="27"/>
        <w:spacing w:line="500" w:lineRule="atLeast"/>
        <w:ind w:firstLine="3507" w:firstLineChars="1670"/>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460" w:lineRule="exact"/>
        <w:ind w:firstLine="433"/>
        <w:rPr>
          <w:rFonts w:ascii="宋体" w:eastAsia="宋体"/>
          <w:color w:val="auto"/>
          <w:sz w:val="21"/>
          <w:szCs w:val="21"/>
        </w:rPr>
      </w:pPr>
    </w:p>
    <w:p>
      <w:pPr>
        <w:ind w:firstLine="420" w:firstLineChars="200"/>
        <w:rPr>
          <w:rFonts w:eastAsia="宋体"/>
          <w:color w:val="auto"/>
        </w:rPr>
      </w:pPr>
      <w:r>
        <w:rPr>
          <w:rFonts w:hint="eastAsia" w:ascii="宋体" w:hAnsi="宋体" w:eastAsia="宋体"/>
          <w:color w:val="auto"/>
          <w:sz w:val="21"/>
          <w:szCs w:val="21"/>
        </w:rPr>
        <w:t>须附：被授权人身份证复印件。</w:t>
      </w:r>
    </w:p>
    <w:tbl>
      <w:tblPr>
        <w:tblStyle w:val="16"/>
        <w:tblW w:w="846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232"/>
        <w:gridCol w:w="4232"/>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661" w:hRule="atLeast"/>
          <w:jc w:val="center"/>
        </w:trPr>
        <w:tc>
          <w:tcPr>
            <w:tcW w:w="423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正面</w:t>
            </w:r>
          </w:p>
        </w:tc>
        <w:tc>
          <w:tcPr>
            <w:tcW w:w="4232" w:type="dxa"/>
            <w:vAlign w:val="center"/>
          </w:tcPr>
          <w:p>
            <w:pPr>
              <w:pStyle w:val="27"/>
              <w:spacing w:line="460" w:lineRule="exact"/>
              <w:ind w:firstLine="0" w:firstLineChars="0"/>
              <w:jc w:val="center"/>
              <w:rPr>
                <w:rFonts w:ascii="宋体" w:eastAsia="宋体"/>
                <w:color w:val="auto"/>
                <w:sz w:val="22"/>
              </w:rPr>
            </w:pPr>
            <w:r>
              <w:rPr>
                <w:rFonts w:hint="eastAsia" w:ascii="宋体" w:eastAsia="宋体"/>
                <w:color w:val="auto"/>
                <w:sz w:val="22"/>
              </w:rPr>
              <w:t>背面</w:t>
            </w:r>
          </w:p>
        </w:tc>
      </w:tr>
    </w:tbl>
    <w:p>
      <w:pPr>
        <w:adjustRightInd/>
        <w:snapToGrid/>
        <w:spacing w:line="276" w:lineRule="auto"/>
        <w:rPr>
          <w:color w:val="auto"/>
        </w:rPr>
      </w:pPr>
      <w:bookmarkStart w:id="97" w:name="_Toc22486"/>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98" w:name="_Toc17164"/>
      <w:r>
        <w:rPr>
          <w:rFonts w:hint="eastAsia" w:ascii="宋体" w:hAnsi="宋体" w:eastAsia="宋体"/>
          <w:color w:val="auto"/>
          <w:sz w:val="21"/>
          <w:szCs w:val="21"/>
        </w:rPr>
        <w:t>附件7.资格申明</w:t>
      </w:r>
      <w:bookmarkEnd w:id="98"/>
    </w:p>
    <w:p>
      <w:pPr>
        <w:jc w:val="center"/>
        <w:rPr>
          <w:rFonts w:ascii="黑体" w:eastAsia="黑体"/>
          <w:color w:val="auto"/>
          <w:sz w:val="28"/>
          <w:szCs w:val="28"/>
        </w:rPr>
      </w:pPr>
      <w:r>
        <w:rPr>
          <w:rFonts w:hint="eastAsia" w:ascii="黑体" w:eastAsia="黑体"/>
          <w:color w:val="auto"/>
          <w:sz w:val="28"/>
          <w:szCs w:val="28"/>
        </w:rPr>
        <w:t>资格申明</w:t>
      </w:r>
    </w:p>
    <w:p>
      <w:pPr>
        <w:pStyle w:val="27"/>
        <w:spacing w:line="420" w:lineRule="atLeast"/>
        <w:ind w:firstLine="0" w:firstLineChars="0"/>
        <w:rPr>
          <w:rFonts w:ascii="宋体" w:eastAsia="宋体"/>
          <w:color w:val="auto"/>
          <w:sz w:val="21"/>
          <w:szCs w:val="21"/>
        </w:rPr>
      </w:pPr>
      <w:r>
        <w:rPr>
          <w:rFonts w:hint="eastAsia" w:ascii="宋体" w:eastAsia="宋体"/>
          <w:color w:val="auto"/>
          <w:sz w:val="21"/>
          <w:szCs w:val="21"/>
        </w:rPr>
        <w:t>三方诚信招标有限公司东莞分公司：</w:t>
      </w:r>
    </w:p>
    <w:p>
      <w:pPr>
        <w:spacing w:after="0" w:line="360" w:lineRule="auto"/>
        <w:ind w:firstLine="420" w:firstLineChars="200"/>
        <w:rPr>
          <w:rFonts w:ascii="宋体" w:hAnsi="宋体" w:eastAsia="宋体"/>
          <w:color w:val="auto"/>
          <w:sz w:val="21"/>
          <w:szCs w:val="21"/>
        </w:rPr>
      </w:pP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我方</w:t>
      </w:r>
      <w:r>
        <w:rPr>
          <w:rFonts w:ascii="宋体" w:hAnsi="宋体" w:eastAsia="宋体"/>
          <w:color w:val="auto"/>
          <w:sz w:val="21"/>
          <w:szCs w:val="21"/>
        </w:rPr>
        <w:t>愿响应</w:t>
      </w:r>
      <w:r>
        <w:rPr>
          <w:rFonts w:hint="eastAsia" w:ascii="宋体" w:hAnsi="宋体" w:eastAsia="宋体"/>
          <w:color w:val="auto"/>
          <w:sz w:val="21"/>
          <w:szCs w:val="21"/>
        </w:rPr>
        <w:t>贵</w:t>
      </w:r>
      <w:r>
        <w:rPr>
          <w:rFonts w:ascii="宋体" w:hAnsi="宋体" w:eastAsia="宋体"/>
          <w:color w:val="auto"/>
          <w:sz w:val="21"/>
          <w:szCs w:val="21"/>
        </w:rPr>
        <w:t>方</w:t>
      </w:r>
      <w:r>
        <w:rPr>
          <w:rFonts w:hint="eastAsia" w:ascii="宋体" w:hAnsi="宋体" w:eastAsia="宋体"/>
          <w:color w:val="auto"/>
          <w:sz w:val="21"/>
          <w:szCs w:val="21"/>
        </w:rPr>
        <w:t>关于（项目名称）</w:t>
      </w:r>
      <w:r>
        <w:rPr>
          <w:rFonts w:ascii="宋体" w:hAnsi="宋体" w:eastAsia="宋体"/>
          <w:color w:val="auto"/>
          <w:sz w:val="21"/>
          <w:szCs w:val="21"/>
        </w:rPr>
        <w:t>（</w:t>
      </w:r>
      <w:r>
        <w:rPr>
          <w:rFonts w:hint="eastAsia" w:ascii="宋体" w:hAnsi="宋体" w:eastAsia="宋体"/>
          <w:color w:val="auto"/>
          <w:sz w:val="21"/>
          <w:szCs w:val="21"/>
        </w:rPr>
        <w:t>采购项目编号</w:t>
      </w:r>
      <w:r>
        <w:rPr>
          <w:rFonts w:ascii="宋体" w:hAnsi="宋体" w:eastAsia="宋体"/>
          <w:color w:val="auto"/>
          <w:sz w:val="21"/>
          <w:szCs w:val="21"/>
        </w:rPr>
        <w:t>）</w:t>
      </w:r>
      <w:r>
        <w:rPr>
          <w:rFonts w:hint="eastAsia" w:ascii="宋体" w:hAnsi="宋体" w:eastAsia="宋体"/>
          <w:color w:val="auto"/>
          <w:sz w:val="21"/>
          <w:szCs w:val="21"/>
        </w:rPr>
        <w:t>的</w:t>
      </w:r>
      <w:r>
        <w:rPr>
          <w:rFonts w:ascii="宋体" w:hAnsi="宋体" w:eastAsia="宋体"/>
          <w:color w:val="auto"/>
          <w:sz w:val="21"/>
          <w:szCs w:val="21"/>
        </w:rPr>
        <w:t>投标邀请，参与投标，提供用户需求书中规定的</w:t>
      </w:r>
      <w:r>
        <w:rPr>
          <w:rFonts w:hint="eastAsia" w:ascii="宋体" w:hAnsi="宋体" w:eastAsia="宋体"/>
          <w:color w:val="auto"/>
          <w:sz w:val="21"/>
          <w:szCs w:val="21"/>
        </w:rPr>
        <w:t>货物及相关服务</w:t>
      </w:r>
      <w:r>
        <w:rPr>
          <w:rFonts w:ascii="宋体" w:hAnsi="宋体" w:eastAsia="宋体"/>
          <w:color w:val="auto"/>
          <w:sz w:val="21"/>
          <w:szCs w:val="21"/>
        </w:rPr>
        <w:t>，并按招标文件要求提交所附资格文件且声明和保证如下：</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一、我方具备《中华人民共和国政府采购法》第二十二条资格条件，已清楚招标文件所有要求及有关规定；并承诺参加本次政府采购活动中，如有违法、违规、弄虚作假行为，所造成的损失、不良后果及法律责任，一律由我方承担；</w:t>
      </w:r>
    </w:p>
    <w:p>
      <w:pPr>
        <w:spacing w:after="0" w:line="360" w:lineRule="auto"/>
        <w:ind w:firstLine="420" w:firstLineChars="200"/>
        <w:rPr>
          <w:rFonts w:ascii="宋体" w:hAnsi="宋体" w:eastAsia="宋体"/>
          <w:color w:val="auto"/>
          <w:sz w:val="21"/>
          <w:szCs w:val="21"/>
        </w:rPr>
      </w:pPr>
      <w:r>
        <w:rPr>
          <w:rFonts w:hint="eastAsia" w:ascii="宋体" w:hAnsi="宋体" w:eastAsia="宋体"/>
          <w:color w:val="auto"/>
          <w:sz w:val="21"/>
          <w:szCs w:val="21"/>
        </w:rPr>
        <w:t>二、</w:t>
      </w:r>
      <w:r>
        <w:rPr>
          <w:rFonts w:ascii="宋体" w:hAnsi="宋体" w:eastAsia="宋体"/>
          <w:color w:val="auto"/>
          <w:sz w:val="21"/>
          <w:szCs w:val="21"/>
        </w:rPr>
        <w:t>我方依法注册，在法律上、财务上和运作上完全独立于（采购人名称）（采购人）及</w:t>
      </w:r>
      <w:r>
        <w:rPr>
          <w:rFonts w:hint="eastAsia" w:ascii="宋体" w:hAnsi="宋体" w:eastAsia="宋体"/>
          <w:color w:val="auto"/>
          <w:sz w:val="21"/>
          <w:szCs w:val="21"/>
        </w:rPr>
        <w:t>三方诚信招标有限公司东莞分公司</w:t>
      </w:r>
      <w:r>
        <w:rPr>
          <w:rFonts w:ascii="宋体" w:hAnsi="宋体" w:eastAsia="宋体"/>
          <w:color w:val="auto"/>
          <w:sz w:val="21"/>
          <w:szCs w:val="21"/>
        </w:rPr>
        <w:t>（采购代理机构）</w:t>
      </w:r>
      <w:r>
        <w:rPr>
          <w:rFonts w:hint="eastAsia" w:ascii="宋体" w:hAnsi="宋体" w:eastAsia="宋体"/>
          <w:color w:val="auto"/>
          <w:sz w:val="21"/>
          <w:szCs w:val="21"/>
        </w:rPr>
        <w:t>。</w:t>
      </w:r>
    </w:p>
    <w:p>
      <w:pPr>
        <w:pStyle w:val="27"/>
        <w:spacing w:line="500" w:lineRule="atLeast"/>
        <w:ind w:firstLine="3517" w:firstLineChars="1675"/>
        <w:rPr>
          <w:rFonts w:ascii="宋体" w:eastAsia="宋体"/>
          <w:color w:val="auto"/>
          <w:sz w:val="21"/>
          <w:szCs w:val="21"/>
        </w:rPr>
      </w:pPr>
    </w:p>
    <w:p>
      <w:pPr>
        <w:pStyle w:val="27"/>
        <w:spacing w:line="500" w:lineRule="atLeast"/>
        <w:ind w:firstLine="3517" w:firstLineChars="1675"/>
        <w:rPr>
          <w:rFonts w:ascii="宋体" w:eastAsia="宋体"/>
          <w:color w:val="auto"/>
          <w:sz w:val="21"/>
          <w:szCs w:val="21"/>
        </w:rPr>
      </w:pP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投标人名称（加盖公章）：</w:t>
      </w:r>
      <w:r>
        <w:rPr>
          <w:rFonts w:hint="eastAsia" w:ascii="宋体" w:eastAsia="宋体"/>
          <w:color w:val="auto"/>
          <w:sz w:val="21"/>
          <w:szCs w:val="21"/>
          <w:u w:val="single"/>
        </w:rPr>
        <w:t xml:space="preserve">                 </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法定代表人签字（签名或盖私章）：</w:t>
      </w:r>
      <w:r>
        <w:rPr>
          <w:rFonts w:hint="eastAsia" w:ascii="宋体" w:eastAsia="宋体"/>
          <w:color w:val="auto"/>
          <w:sz w:val="21"/>
          <w:szCs w:val="21"/>
          <w:u w:val="single"/>
        </w:rPr>
        <w:t xml:space="preserve">               </w:t>
      </w:r>
      <w:r>
        <w:rPr>
          <w:rFonts w:hint="eastAsia" w:ascii="宋体" w:eastAsia="宋体"/>
          <w:color w:val="auto"/>
          <w:sz w:val="21"/>
          <w:szCs w:val="21"/>
        </w:rPr>
        <w:t xml:space="preserve">                        </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t>日     期：</w:t>
      </w:r>
      <w:r>
        <w:rPr>
          <w:rFonts w:hint="eastAsia" w:ascii="宋体" w:eastAsia="宋体"/>
          <w:color w:val="auto"/>
          <w:sz w:val="21"/>
          <w:szCs w:val="21"/>
          <w:u w:val="single"/>
        </w:rPr>
        <w:t xml:space="preserve">         </w:t>
      </w:r>
      <w:r>
        <w:rPr>
          <w:rFonts w:hint="eastAsia" w:ascii="宋体" w:eastAsia="宋体"/>
          <w:color w:val="auto"/>
          <w:sz w:val="21"/>
          <w:szCs w:val="21"/>
        </w:rPr>
        <w:t>年</w:t>
      </w:r>
      <w:r>
        <w:rPr>
          <w:rFonts w:hint="eastAsia" w:ascii="宋体" w:eastAsia="宋体"/>
          <w:color w:val="auto"/>
          <w:sz w:val="21"/>
          <w:szCs w:val="21"/>
          <w:u w:val="single"/>
        </w:rPr>
        <w:t xml:space="preserve">        </w:t>
      </w:r>
      <w:r>
        <w:rPr>
          <w:rFonts w:hint="eastAsia" w:ascii="宋体" w:eastAsia="宋体"/>
          <w:color w:val="auto"/>
          <w:sz w:val="21"/>
          <w:szCs w:val="21"/>
        </w:rPr>
        <w:t>月</w:t>
      </w:r>
      <w:r>
        <w:rPr>
          <w:rFonts w:hint="eastAsia" w:ascii="宋体" w:eastAsia="宋体"/>
          <w:color w:val="auto"/>
          <w:sz w:val="21"/>
          <w:szCs w:val="21"/>
          <w:u w:val="single"/>
        </w:rPr>
        <w:t xml:space="preserve">        </w:t>
      </w:r>
      <w:r>
        <w:rPr>
          <w:rFonts w:hint="eastAsia" w:ascii="宋体" w:eastAsia="宋体"/>
          <w:color w:val="auto"/>
          <w:sz w:val="21"/>
          <w:szCs w:val="21"/>
        </w:rPr>
        <w:t>日</w:t>
      </w:r>
    </w:p>
    <w:p>
      <w:pPr>
        <w:pStyle w:val="27"/>
        <w:spacing w:line="500" w:lineRule="atLeast"/>
        <w:ind w:firstLine="433"/>
        <w:rPr>
          <w:rFonts w:ascii="宋体" w:eastAsia="宋体"/>
          <w:color w:val="auto"/>
          <w:sz w:val="21"/>
          <w:szCs w:val="21"/>
        </w:rPr>
      </w:pPr>
      <w:r>
        <w:rPr>
          <w:rFonts w:hint="eastAsia" w:asci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99" w:name="_Toc27839"/>
      <w:r>
        <w:rPr>
          <w:rFonts w:hint="eastAsia" w:ascii="宋体" w:hAnsi="宋体" w:eastAsia="宋体"/>
          <w:color w:val="auto"/>
          <w:sz w:val="21"/>
          <w:szCs w:val="21"/>
        </w:rPr>
        <w:t>附件8.营业执照</w:t>
      </w:r>
      <w:bookmarkEnd w:id="99"/>
    </w:p>
    <w:p>
      <w:pPr>
        <w:jc w:val="center"/>
        <w:rPr>
          <w:rFonts w:ascii="黑体" w:eastAsia="黑体"/>
          <w:color w:val="auto"/>
          <w:sz w:val="28"/>
          <w:szCs w:val="28"/>
        </w:rPr>
      </w:pPr>
      <w:bookmarkStart w:id="100" w:name="_Toc24210"/>
      <w:bookmarkStart w:id="101" w:name="_Toc5919"/>
      <w:bookmarkStart w:id="102" w:name="_Toc4926"/>
      <w:bookmarkStart w:id="103" w:name="_Toc17470"/>
      <w:bookmarkStart w:id="104" w:name="_Toc1511"/>
      <w:r>
        <w:rPr>
          <w:rFonts w:hint="eastAsia" w:ascii="黑体" w:eastAsia="黑体"/>
          <w:color w:val="auto"/>
          <w:sz w:val="28"/>
          <w:szCs w:val="28"/>
        </w:rPr>
        <w:t>营业执照</w:t>
      </w:r>
      <w:bookmarkEnd w:id="100"/>
      <w:bookmarkEnd w:id="101"/>
      <w:bookmarkEnd w:id="102"/>
      <w:bookmarkEnd w:id="103"/>
      <w:bookmarkEnd w:id="104"/>
    </w:p>
    <w:p>
      <w:pPr>
        <w:jc w:val="center"/>
        <w:rPr>
          <w:rFonts w:ascii="黑体" w:eastAsia="黑体"/>
          <w:color w:val="auto"/>
          <w:sz w:val="28"/>
          <w:szCs w:val="28"/>
        </w:rPr>
      </w:pPr>
      <w:r>
        <w:rPr>
          <w:rFonts w:hint="eastAsia" w:ascii="黑体" w:eastAsia="黑体"/>
          <w:color w:val="auto"/>
          <w:sz w:val="28"/>
          <w:szCs w:val="28"/>
        </w:rPr>
        <w:br w:type="page"/>
      </w:r>
    </w:p>
    <w:p>
      <w:pPr>
        <w:pStyle w:val="4"/>
        <w:widowControl w:val="0"/>
        <w:overflowPunct w:val="0"/>
        <w:spacing w:before="0" w:after="0" w:line="240" w:lineRule="auto"/>
        <w:rPr>
          <w:rFonts w:ascii="宋体" w:hAnsi="宋体" w:eastAsia="宋体"/>
          <w:color w:val="auto"/>
          <w:sz w:val="21"/>
          <w:szCs w:val="21"/>
        </w:rPr>
      </w:pPr>
      <w:bookmarkStart w:id="105" w:name="_Toc26141"/>
      <w:r>
        <w:rPr>
          <w:rFonts w:hint="eastAsia" w:ascii="宋体" w:hAnsi="宋体" w:eastAsia="宋体"/>
          <w:color w:val="auto"/>
          <w:sz w:val="21"/>
          <w:szCs w:val="21"/>
        </w:rPr>
        <w:t>附件9.相关资质证明文件</w:t>
      </w:r>
      <w:bookmarkEnd w:id="105"/>
    </w:p>
    <w:p>
      <w:pPr>
        <w:rPr>
          <w:color w:val="auto"/>
        </w:rPr>
      </w:pPr>
    </w:p>
    <w:p>
      <w:pPr>
        <w:jc w:val="center"/>
        <w:rPr>
          <w:rFonts w:ascii="黑体" w:eastAsia="黑体"/>
          <w:color w:val="auto"/>
          <w:sz w:val="28"/>
          <w:szCs w:val="28"/>
        </w:rPr>
      </w:pPr>
      <w:bookmarkStart w:id="106" w:name="_Toc30307"/>
      <w:bookmarkStart w:id="107" w:name="_Toc16698"/>
      <w:bookmarkStart w:id="108" w:name="_Toc16233"/>
      <w:bookmarkStart w:id="109" w:name="_Toc13458"/>
      <w:bookmarkStart w:id="110" w:name="_Toc9592"/>
      <w:r>
        <w:rPr>
          <w:rFonts w:hint="eastAsia" w:ascii="黑体" w:eastAsia="黑体"/>
          <w:color w:val="auto"/>
          <w:sz w:val="28"/>
          <w:szCs w:val="28"/>
        </w:rPr>
        <w:t>相关资质证明文件</w:t>
      </w:r>
      <w:bookmarkEnd w:id="97"/>
      <w:bookmarkEnd w:id="106"/>
      <w:bookmarkEnd w:id="107"/>
      <w:bookmarkEnd w:id="108"/>
      <w:bookmarkEnd w:id="109"/>
      <w:bookmarkEnd w:id="110"/>
    </w:p>
    <w:p>
      <w:pPr>
        <w:jc w:val="center"/>
        <w:rPr>
          <w:rFonts w:ascii="黑体" w:eastAsia="黑体"/>
          <w:color w:val="auto"/>
          <w:sz w:val="28"/>
          <w:szCs w:val="28"/>
        </w:rPr>
      </w:pPr>
      <w:r>
        <w:rPr>
          <w:rFonts w:hint="eastAsia" w:ascii="黑体" w:eastAsia="黑体"/>
          <w:color w:val="auto"/>
          <w:sz w:val="28"/>
          <w:szCs w:val="28"/>
        </w:rPr>
        <w:br w:type="page"/>
      </w:r>
    </w:p>
    <w:p>
      <w:pPr>
        <w:pStyle w:val="4"/>
        <w:widowControl w:val="0"/>
        <w:overflowPunct w:val="0"/>
        <w:spacing w:before="0" w:after="0" w:line="240" w:lineRule="auto"/>
        <w:rPr>
          <w:rFonts w:ascii="宋体" w:hAnsi="宋体" w:eastAsia="宋体"/>
          <w:color w:val="auto"/>
          <w:sz w:val="21"/>
          <w:szCs w:val="21"/>
        </w:rPr>
      </w:pPr>
      <w:bookmarkStart w:id="111" w:name="_Toc17618"/>
      <w:r>
        <w:rPr>
          <w:rFonts w:hint="eastAsia" w:ascii="宋体" w:hAnsi="宋体" w:eastAsia="宋体"/>
          <w:color w:val="auto"/>
          <w:sz w:val="21"/>
          <w:szCs w:val="21"/>
        </w:rPr>
        <w:t>附件10. 商务条款偏离表格式</w:t>
      </w:r>
      <w:bookmarkEnd w:id="111"/>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商务条款偏离表</w:t>
      </w:r>
    </w:p>
    <w:tbl>
      <w:tblPr>
        <w:tblStyle w:val="16"/>
        <w:tblW w:w="8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620"/>
        <w:gridCol w:w="1360"/>
        <w:gridCol w:w="1587"/>
        <w:gridCol w:w="1133"/>
        <w:gridCol w:w="1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00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62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服务项目名称</w:t>
            </w:r>
          </w:p>
        </w:tc>
        <w:tc>
          <w:tcPr>
            <w:tcW w:w="136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587"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133"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73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jc w:val="center"/>
              <w:rPr>
                <w:rFonts w:ascii="宋体" w:hAnsi="宋体" w:eastAsia="宋体"/>
                <w:color w:val="auto"/>
                <w:sz w:val="21"/>
                <w:szCs w:val="21"/>
              </w:rPr>
            </w:pPr>
          </w:p>
        </w:tc>
        <w:tc>
          <w:tcPr>
            <w:tcW w:w="1620" w:type="dxa"/>
            <w:vAlign w:val="center"/>
          </w:tcPr>
          <w:p>
            <w:pPr>
              <w:jc w:val="center"/>
              <w:rPr>
                <w:rFonts w:ascii="宋体" w:hAnsi="宋体" w:eastAsia="宋体"/>
                <w:color w:val="auto"/>
                <w:sz w:val="21"/>
                <w:szCs w:val="21"/>
              </w:rPr>
            </w:pPr>
          </w:p>
        </w:tc>
        <w:tc>
          <w:tcPr>
            <w:tcW w:w="1360" w:type="dxa"/>
            <w:vAlign w:val="center"/>
          </w:tcPr>
          <w:p>
            <w:pPr>
              <w:jc w:val="center"/>
              <w:rPr>
                <w:rFonts w:ascii="宋体" w:hAnsi="宋体" w:eastAsia="宋体"/>
                <w:color w:val="auto"/>
                <w:sz w:val="21"/>
                <w:szCs w:val="21"/>
              </w:rPr>
            </w:pPr>
          </w:p>
        </w:tc>
        <w:tc>
          <w:tcPr>
            <w:tcW w:w="1587" w:type="dxa"/>
            <w:vAlign w:val="center"/>
          </w:tcPr>
          <w:p>
            <w:pPr>
              <w:jc w:val="center"/>
              <w:rPr>
                <w:rFonts w:ascii="宋体" w:hAnsi="宋体" w:eastAsia="宋体"/>
                <w:color w:val="auto"/>
                <w:sz w:val="21"/>
                <w:szCs w:val="21"/>
              </w:rPr>
            </w:pPr>
          </w:p>
        </w:tc>
        <w:tc>
          <w:tcPr>
            <w:tcW w:w="1133" w:type="dxa"/>
            <w:vAlign w:val="center"/>
          </w:tcPr>
          <w:p>
            <w:pPr>
              <w:jc w:val="center"/>
              <w:rPr>
                <w:rFonts w:ascii="宋体" w:hAnsi="宋体" w:eastAsia="宋体"/>
                <w:color w:val="auto"/>
                <w:sz w:val="21"/>
                <w:szCs w:val="21"/>
              </w:rPr>
            </w:pPr>
          </w:p>
        </w:tc>
        <w:tc>
          <w:tcPr>
            <w:tcW w:w="1730"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p>
    <w:p>
      <w:pPr>
        <w:ind w:left="718" w:hanging="718" w:hangingChars="342"/>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1、投标人应对照招标文件商务要求，说明已对招标文件的商务内容做出了实质性的响应。</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2、商务条款包括但不限于合格投标人资格、付款方式、履约保证金、完工期、售后服务、检验及验收、保险、争端的解决等要求。</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lang w:eastAsia="zh-CN"/>
        </w:rPr>
        <w:t>若文件有具体要求的，应按照文件要求进行逐一响应，并提供相应的证明材料</w:t>
      </w:r>
      <w:r>
        <w:rPr>
          <w:rFonts w:hint="eastAsia" w:ascii="宋体" w:hAnsi="宋体" w:eastAsia="宋体"/>
          <w:color w:val="auto"/>
          <w:sz w:val="21"/>
          <w:szCs w:val="21"/>
        </w:rPr>
        <w:t>。</w:t>
      </w: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r>
        <w:rPr>
          <w:color w:val="auto"/>
        </w:rPr>
        <w:br w:type="page"/>
      </w:r>
    </w:p>
    <w:p>
      <w:pPr>
        <w:pStyle w:val="4"/>
        <w:widowControl w:val="0"/>
        <w:overflowPunct w:val="0"/>
        <w:spacing w:before="0" w:after="0" w:line="240" w:lineRule="auto"/>
        <w:rPr>
          <w:rFonts w:ascii="宋体" w:hAnsi="宋体" w:eastAsia="宋体"/>
          <w:color w:val="auto"/>
          <w:sz w:val="21"/>
          <w:szCs w:val="21"/>
        </w:rPr>
      </w:pPr>
      <w:bookmarkStart w:id="112" w:name="_Toc32183"/>
      <w:r>
        <w:rPr>
          <w:rFonts w:hint="eastAsia" w:ascii="宋体" w:hAnsi="宋体" w:eastAsia="宋体"/>
          <w:color w:val="auto"/>
          <w:sz w:val="21"/>
          <w:szCs w:val="21"/>
        </w:rPr>
        <w:t>附件11. 技术规格偏离表格式</w:t>
      </w:r>
      <w:bookmarkEnd w:id="112"/>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技术规格偏离表</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902"/>
        <w:gridCol w:w="1370"/>
        <w:gridCol w:w="1629"/>
        <w:gridCol w:w="1239"/>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838"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902" w:type="dxa"/>
            <w:vAlign w:val="center"/>
          </w:tcPr>
          <w:p>
            <w:pPr>
              <w:spacing w:after="0"/>
              <w:jc w:val="center"/>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技术规格</w:t>
            </w:r>
          </w:p>
        </w:tc>
        <w:tc>
          <w:tcPr>
            <w:tcW w:w="1370"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招标要求</w:t>
            </w:r>
          </w:p>
        </w:tc>
        <w:tc>
          <w:tcPr>
            <w:tcW w:w="162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投标实际响应</w:t>
            </w:r>
          </w:p>
        </w:tc>
        <w:tc>
          <w:tcPr>
            <w:tcW w:w="1239"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是否偏离</w:t>
            </w:r>
          </w:p>
        </w:tc>
        <w:tc>
          <w:tcPr>
            <w:tcW w:w="1544" w:type="dxa"/>
            <w:vAlign w:val="center"/>
          </w:tcPr>
          <w:p>
            <w:pPr>
              <w:spacing w:after="0"/>
              <w:jc w:val="center"/>
              <w:rPr>
                <w:rFonts w:ascii="宋体" w:hAnsi="宋体" w:eastAsia="宋体"/>
                <w:color w:val="auto"/>
                <w:sz w:val="21"/>
                <w:szCs w:val="21"/>
              </w:rPr>
            </w:pPr>
            <w:r>
              <w:rPr>
                <w:rFonts w:hint="eastAsia" w:ascii="宋体" w:hAnsi="宋体" w:eastAsia="宋体"/>
                <w:color w:val="auto"/>
                <w:sz w:val="21"/>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8" w:type="dxa"/>
            <w:vAlign w:val="center"/>
          </w:tcPr>
          <w:p>
            <w:pPr>
              <w:jc w:val="center"/>
              <w:rPr>
                <w:rFonts w:ascii="宋体" w:hAnsi="宋体" w:eastAsia="宋体"/>
                <w:color w:val="auto"/>
                <w:sz w:val="21"/>
                <w:szCs w:val="21"/>
              </w:rPr>
            </w:pPr>
          </w:p>
        </w:tc>
        <w:tc>
          <w:tcPr>
            <w:tcW w:w="1902" w:type="dxa"/>
            <w:vAlign w:val="center"/>
          </w:tcPr>
          <w:p>
            <w:pPr>
              <w:jc w:val="center"/>
              <w:rPr>
                <w:rFonts w:ascii="宋体" w:hAnsi="宋体" w:eastAsia="宋体"/>
                <w:color w:val="auto"/>
                <w:sz w:val="21"/>
                <w:szCs w:val="21"/>
              </w:rPr>
            </w:pPr>
          </w:p>
        </w:tc>
        <w:tc>
          <w:tcPr>
            <w:tcW w:w="1370" w:type="dxa"/>
            <w:vAlign w:val="center"/>
          </w:tcPr>
          <w:p>
            <w:pPr>
              <w:jc w:val="center"/>
              <w:rPr>
                <w:rFonts w:ascii="宋体" w:hAnsi="宋体" w:eastAsia="宋体"/>
                <w:color w:val="auto"/>
                <w:sz w:val="21"/>
                <w:szCs w:val="21"/>
              </w:rPr>
            </w:pPr>
          </w:p>
        </w:tc>
        <w:tc>
          <w:tcPr>
            <w:tcW w:w="1629" w:type="dxa"/>
            <w:vAlign w:val="center"/>
          </w:tcPr>
          <w:p>
            <w:pPr>
              <w:jc w:val="center"/>
              <w:rPr>
                <w:rFonts w:ascii="宋体" w:hAnsi="宋体" w:eastAsia="宋体"/>
                <w:color w:val="auto"/>
                <w:sz w:val="21"/>
                <w:szCs w:val="21"/>
              </w:rPr>
            </w:pPr>
          </w:p>
        </w:tc>
        <w:tc>
          <w:tcPr>
            <w:tcW w:w="1239" w:type="dxa"/>
            <w:vAlign w:val="center"/>
          </w:tcPr>
          <w:p>
            <w:pPr>
              <w:jc w:val="center"/>
              <w:rPr>
                <w:rFonts w:ascii="宋体" w:hAnsi="宋体" w:eastAsia="宋体"/>
                <w:color w:val="auto"/>
                <w:sz w:val="21"/>
                <w:szCs w:val="21"/>
              </w:rPr>
            </w:pPr>
          </w:p>
        </w:tc>
        <w:tc>
          <w:tcPr>
            <w:tcW w:w="1544" w:type="dxa"/>
            <w:vAlign w:val="center"/>
          </w:tcPr>
          <w:p>
            <w:pPr>
              <w:jc w:val="center"/>
              <w:rPr>
                <w:rFonts w:ascii="宋体" w:hAnsi="宋体" w:eastAsia="宋体"/>
                <w:color w:val="auto"/>
                <w:sz w:val="21"/>
                <w:szCs w:val="21"/>
              </w:rPr>
            </w:pPr>
          </w:p>
        </w:tc>
      </w:tr>
    </w:tbl>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投标人代表签字：</w:t>
      </w:r>
    </w:p>
    <w:p>
      <w:pPr>
        <w:rPr>
          <w:rFonts w:ascii="宋体" w:hAnsi="宋体" w:eastAsia="宋体"/>
          <w:color w:val="auto"/>
          <w:sz w:val="21"/>
          <w:szCs w:val="21"/>
        </w:rPr>
      </w:pPr>
      <w:r>
        <w:rPr>
          <w:rFonts w:hint="eastAsia" w:ascii="宋体" w:hAnsi="宋体" w:eastAsia="宋体"/>
          <w:color w:val="auto"/>
          <w:sz w:val="21"/>
          <w:szCs w:val="21"/>
        </w:rPr>
        <w:t>投标人盖章：</w:t>
      </w:r>
    </w:p>
    <w:p>
      <w:pPr>
        <w:ind w:firstLine="178" w:firstLineChars="85"/>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t>注：</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1、偏离项中填写“正”、“负”或“无”，说明项中填写原因。</w:t>
      </w:r>
    </w:p>
    <w:p>
      <w:pPr>
        <w:spacing w:after="0" w:line="360" w:lineRule="auto"/>
        <w:rPr>
          <w:rFonts w:ascii="宋体" w:hAnsi="宋体" w:eastAsia="宋体"/>
          <w:color w:val="auto"/>
          <w:sz w:val="21"/>
          <w:szCs w:val="21"/>
        </w:rPr>
      </w:pPr>
      <w:r>
        <w:rPr>
          <w:rFonts w:hint="eastAsia" w:ascii="宋体" w:hAnsi="宋体" w:eastAsia="宋体"/>
          <w:color w:val="auto"/>
          <w:sz w:val="21"/>
          <w:szCs w:val="21"/>
        </w:rPr>
        <w:t>2、投标人应对照招标文件技术规格，说明所提供服务已对招标文件的技术规格做出实质性的响应，并申明与技术规格条文的偏差和例外。特别对有具体参数要求的指标，投标人必须提供所投设备的具体参数值。</w:t>
      </w:r>
    </w:p>
    <w:p>
      <w:pPr>
        <w:spacing w:after="0" w:line="360" w:lineRule="auto"/>
        <w:rPr>
          <w:rFonts w:ascii="宋体" w:hAnsi="宋体" w:eastAsia="宋体"/>
          <w:color w:val="auto"/>
          <w:sz w:val="21"/>
          <w:szCs w:val="21"/>
        </w:rPr>
      </w:pPr>
    </w:p>
    <w:p>
      <w:pPr>
        <w:adjustRightInd/>
        <w:snapToGrid/>
        <w:spacing w:line="276" w:lineRule="auto"/>
        <w:rPr>
          <w:color w:val="auto"/>
        </w:rPr>
      </w:pPr>
    </w:p>
    <w:p>
      <w:pPr>
        <w:adjustRightInd/>
        <w:snapToGrid/>
        <w:spacing w:line="276" w:lineRule="auto"/>
        <w:rPr>
          <w:color w:val="auto"/>
        </w:rPr>
      </w:pPr>
    </w:p>
    <w:p>
      <w:pPr>
        <w:adjustRightInd/>
        <w:snapToGrid/>
        <w:spacing w:line="276" w:lineRule="auto"/>
        <w:rPr>
          <w:color w:val="auto"/>
        </w:rPr>
      </w:pPr>
    </w:p>
    <w:p>
      <w:pPr>
        <w:rPr>
          <w:rFonts w:ascii="宋体" w:hAnsi="宋体" w:eastAsia="宋体"/>
          <w:color w:val="auto"/>
          <w:sz w:val="21"/>
          <w:szCs w:val="21"/>
        </w:rPr>
      </w:pPr>
      <w:bookmarkStart w:id="113" w:name="_Toc17691"/>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s="Times New Roman"/>
          <w:b w:val="0"/>
          <w:bCs w:val="0"/>
          <w:color w:val="auto"/>
          <w:sz w:val="32"/>
          <w:szCs w:val="32"/>
        </w:rPr>
      </w:pPr>
      <w:bookmarkStart w:id="114" w:name="_Toc29613"/>
      <w:r>
        <w:rPr>
          <w:rFonts w:hint="eastAsia" w:ascii="宋体" w:hAnsi="宋体" w:eastAsia="宋体"/>
          <w:color w:val="auto"/>
          <w:sz w:val="21"/>
          <w:szCs w:val="21"/>
        </w:rPr>
        <w:t>附件12.重要技术参数（▲）响应表</w:t>
      </w:r>
      <w:bookmarkEnd w:id="113"/>
      <w:bookmarkEnd w:id="114"/>
    </w:p>
    <w:p>
      <w:pPr>
        <w:jc w:val="center"/>
        <w:rPr>
          <w:rFonts w:ascii="黑体" w:eastAsia="黑体"/>
          <w:color w:val="auto"/>
          <w:sz w:val="28"/>
          <w:szCs w:val="28"/>
        </w:rPr>
      </w:pPr>
      <w:bookmarkStart w:id="115" w:name="_Toc26078"/>
      <w:bookmarkStart w:id="116" w:name="_Toc1274"/>
      <w:bookmarkStart w:id="117" w:name="_Toc6080"/>
      <w:bookmarkStart w:id="118" w:name="_Toc4464"/>
      <w:bookmarkStart w:id="119" w:name="_Toc18668"/>
      <w:bookmarkStart w:id="120" w:name="_Toc4827"/>
    </w:p>
    <w:p>
      <w:pPr>
        <w:jc w:val="center"/>
        <w:rPr>
          <w:rFonts w:ascii="黑体" w:eastAsia="黑体"/>
          <w:color w:val="auto"/>
          <w:sz w:val="28"/>
          <w:szCs w:val="28"/>
        </w:rPr>
      </w:pPr>
      <w:r>
        <w:rPr>
          <w:rFonts w:hint="eastAsia" w:ascii="黑体" w:eastAsia="黑体"/>
          <w:color w:val="auto"/>
          <w:sz w:val="28"/>
          <w:szCs w:val="28"/>
        </w:rPr>
        <w:t>重要技术参数（▲）响应表</w:t>
      </w:r>
      <w:bookmarkEnd w:id="115"/>
      <w:bookmarkEnd w:id="116"/>
      <w:bookmarkEnd w:id="117"/>
      <w:bookmarkEnd w:id="118"/>
      <w:bookmarkEnd w:id="119"/>
      <w:bookmarkEnd w:id="120"/>
    </w:p>
    <w:tbl>
      <w:tblPr>
        <w:tblStyle w:val="1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2"/>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bookmarkStart w:id="121" w:name="_Toc12049"/>
            <w:bookmarkStart w:id="122" w:name="_Toc4304"/>
            <w:bookmarkStart w:id="123" w:name="_Toc22448"/>
            <w:bookmarkStart w:id="124" w:name="_Toc16872"/>
            <w:bookmarkStart w:id="125" w:name="_Toc21739"/>
            <w:bookmarkStart w:id="126" w:name="_Toc14815"/>
            <w:bookmarkStart w:id="127" w:name="_Toc2700"/>
            <w:bookmarkStart w:id="128" w:name="_Toc10045"/>
            <w:bookmarkStart w:id="129" w:name="_Toc15903"/>
            <w:bookmarkStart w:id="130" w:name="_Toc27090"/>
            <w:r>
              <w:rPr>
                <w:rFonts w:hint="eastAsia" w:ascii="宋体" w:hAnsi="宋体" w:eastAsia="宋体" w:cs="Times New Roman"/>
                <w:color w:val="auto"/>
                <w:sz w:val="21"/>
                <w:szCs w:val="21"/>
              </w:rPr>
              <w:t>技术参数（▲）</w:t>
            </w:r>
            <w:bookmarkEnd w:id="121"/>
            <w:bookmarkEnd w:id="122"/>
            <w:bookmarkEnd w:id="123"/>
            <w:bookmarkEnd w:id="124"/>
            <w:bookmarkEnd w:id="125"/>
            <w:bookmarkEnd w:id="126"/>
            <w:bookmarkEnd w:id="127"/>
            <w:bookmarkEnd w:id="128"/>
            <w:bookmarkEnd w:id="129"/>
            <w:bookmarkEnd w:id="130"/>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bookmarkStart w:id="131" w:name="_Toc27442"/>
            <w:bookmarkStart w:id="132" w:name="_Toc22879"/>
            <w:bookmarkStart w:id="133" w:name="_Toc22917"/>
            <w:bookmarkStart w:id="134" w:name="_Toc21809"/>
            <w:bookmarkStart w:id="135" w:name="_Toc7333"/>
            <w:bookmarkStart w:id="136" w:name="_Toc8312"/>
            <w:bookmarkStart w:id="137" w:name="_Toc32531"/>
            <w:bookmarkStart w:id="138" w:name="_Toc19251"/>
            <w:bookmarkStart w:id="139" w:name="_Toc8490"/>
            <w:bookmarkStart w:id="140" w:name="_Toc24662"/>
            <w:r>
              <w:rPr>
                <w:rFonts w:hint="eastAsia" w:ascii="宋体" w:hAnsi="宋体" w:eastAsia="宋体" w:cs="Times New Roman"/>
                <w:color w:val="auto"/>
                <w:sz w:val="21"/>
                <w:szCs w:val="21"/>
              </w:rPr>
              <w:t>是否响应</w:t>
            </w:r>
            <w:bookmarkEnd w:id="131"/>
            <w:bookmarkEnd w:id="132"/>
            <w:bookmarkEnd w:id="133"/>
            <w:bookmarkEnd w:id="134"/>
            <w:bookmarkEnd w:id="135"/>
            <w:bookmarkEnd w:id="136"/>
            <w:bookmarkEnd w:id="137"/>
            <w:bookmarkEnd w:id="138"/>
            <w:bookmarkEnd w:id="139"/>
            <w:bookmarkEnd w:id="140"/>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bookmarkStart w:id="141" w:name="_Toc5563"/>
            <w:bookmarkStart w:id="142" w:name="_Toc5992"/>
            <w:bookmarkStart w:id="143" w:name="_Toc20820"/>
            <w:bookmarkStart w:id="144" w:name="_Toc20139"/>
            <w:bookmarkStart w:id="145" w:name="_Toc17296"/>
            <w:bookmarkStart w:id="146" w:name="_Toc1330"/>
            <w:bookmarkStart w:id="147" w:name="_Toc27185"/>
            <w:bookmarkStart w:id="148" w:name="_Toc3701"/>
            <w:bookmarkStart w:id="149" w:name="_Toc17642"/>
            <w:bookmarkStart w:id="150" w:name="_Toc1912"/>
            <w:r>
              <w:rPr>
                <w:rFonts w:hint="eastAsia" w:ascii="宋体" w:hAnsi="宋体" w:eastAsia="宋体" w:cs="Times New Roman"/>
                <w:color w:val="auto"/>
                <w:sz w:val="21"/>
                <w:szCs w:val="21"/>
              </w:rPr>
              <w:t>页码范围</w:t>
            </w:r>
            <w:bookmarkEnd w:id="141"/>
            <w:bookmarkEnd w:id="142"/>
            <w:bookmarkEnd w:id="143"/>
            <w:bookmarkEnd w:id="144"/>
            <w:bookmarkEnd w:id="145"/>
            <w:bookmarkEnd w:id="146"/>
            <w:bookmarkEnd w:id="147"/>
            <w:bookmarkEnd w:id="148"/>
            <w:bookmarkEnd w:id="149"/>
            <w:bookmarkEnd w:id="15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2"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c>
          <w:tcPr>
            <w:tcW w:w="2840" w:type="dxa"/>
            <w:vAlign w:val="center"/>
          </w:tcPr>
          <w:p>
            <w:pPr>
              <w:pStyle w:val="4"/>
              <w:widowControl w:val="0"/>
              <w:overflowPunct w:val="0"/>
              <w:spacing w:before="0" w:after="0" w:line="240" w:lineRule="auto"/>
              <w:jc w:val="center"/>
              <w:rPr>
                <w:rFonts w:ascii="宋体" w:hAnsi="宋体" w:eastAsia="宋体" w:cs="Times New Roman"/>
                <w:color w:val="auto"/>
                <w:sz w:val="21"/>
                <w:szCs w:val="21"/>
              </w:rPr>
            </w:pPr>
          </w:p>
        </w:tc>
      </w:tr>
    </w:tbl>
    <w:p>
      <w:pPr>
        <w:pStyle w:val="24"/>
        <w:spacing w:after="0" w:line="360" w:lineRule="auto"/>
        <w:rPr>
          <w:rFonts w:ascii="宋体" w:hAnsi="宋体" w:eastAsia="宋体"/>
          <w:color w:val="auto"/>
          <w:sz w:val="21"/>
          <w:szCs w:val="21"/>
        </w:rPr>
      </w:pPr>
    </w:p>
    <w:p>
      <w:pPr>
        <w:pStyle w:val="24"/>
        <w:spacing w:after="0" w:line="360" w:lineRule="auto"/>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0"/>
        </w:numPr>
        <w:spacing w:after="0" w:line="360" w:lineRule="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0"/>
        </w:numPr>
        <w:spacing w:after="0" w:line="360" w:lineRule="auto"/>
        <w:ind w:firstLine="422"/>
        <w:rPr>
          <w:rFonts w:ascii="宋体" w:hAnsi="宋体" w:eastAsia="宋体"/>
          <w:b/>
          <w:bCs/>
          <w:color w:val="auto"/>
          <w:sz w:val="21"/>
          <w:szCs w:val="21"/>
        </w:rPr>
      </w:pPr>
      <w:r>
        <w:rPr>
          <w:rFonts w:hint="eastAsia" w:ascii="宋体" w:hAnsi="宋体" w:eastAsia="宋体"/>
          <w:b/>
          <w:bCs/>
          <w:color w:val="auto"/>
          <w:sz w:val="21"/>
          <w:szCs w:val="21"/>
        </w:rPr>
        <w:t>投标人可按项目的实际需要提供本表格。招标文件内未涉及▲参数的，此表可以不用提供。</w:t>
      </w:r>
    </w:p>
    <w:p>
      <w:pPr>
        <w:pStyle w:val="24"/>
        <w:numPr>
          <w:ilvl w:val="0"/>
          <w:numId w:val="10"/>
        </w:numPr>
        <w:spacing w:after="0" w:line="360" w:lineRule="auto"/>
        <w:rPr>
          <w:rFonts w:ascii="宋体" w:hAnsi="宋体" w:eastAsia="宋体"/>
          <w:color w:val="auto"/>
          <w:sz w:val="21"/>
          <w:szCs w:val="21"/>
        </w:rPr>
      </w:pPr>
      <w:r>
        <w:rPr>
          <w:rFonts w:hint="eastAsia" w:ascii="宋体" w:hAnsi="宋体" w:eastAsia="宋体"/>
          <w:color w:val="auto"/>
          <w:sz w:val="21"/>
          <w:szCs w:val="21"/>
        </w:rPr>
        <w:t>响应表所列出的材料应为真实准确的，若文件需要，应提供相关证明材料复印件加盖公章。请勿提供虚假、过期材料，否则将依据相关规定严肃处理</w:t>
      </w:r>
    </w:p>
    <w:p>
      <w:pPr>
        <w:pStyle w:val="24"/>
        <w:numPr>
          <w:ilvl w:val="0"/>
          <w:numId w:val="10"/>
        </w:numPr>
        <w:spacing w:after="0" w:line="360" w:lineRule="auto"/>
        <w:rPr>
          <w:rFonts w:ascii="宋体" w:hAnsi="宋体" w:eastAsia="宋体"/>
          <w:color w:val="auto"/>
          <w:sz w:val="21"/>
          <w:szCs w:val="21"/>
        </w:rPr>
      </w:pPr>
      <w:r>
        <w:rPr>
          <w:rFonts w:hint="eastAsia" w:ascii="宋体" w:hAnsi="宋体" w:eastAsia="宋体"/>
          <w:color w:val="auto"/>
          <w:sz w:val="21"/>
          <w:szCs w:val="21"/>
        </w:rPr>
        <w:t>若招标文件有需求，投标文件未提供重要技术参数（</w:t>
      </w:r>
      <w:r>
        <w:rPr>
          <w:rFonts w:hint="eastAsia" w:ascii="宋体" w:hAnsi="宋体" w:eastAsia="宋体" w:cs="Times New Roman"/>
          <w:color w:val="auto"/>
          <w:sz w:val="21"/>
          <w:szCs w:val="21"/>
        </w:rPr>
        <w:t>▲</w:t>
      </w:r>
      <w:r>
        <w:rPr>
          <w:rFonts w:hint="eastAsia" w:ascii="宋体" w:hAnsi="宋体" w:eastAsia="宋体"/>
          <w:color w:val="auto"/>
          <w:sz w:val="21"/>
          <w:szCs w:val="21"/>
        </w:rPr>
        <w:t>）响应表对投标人投标产生负面影响的，投标人自行承担后果。</w:t>
      </w:r>
    </w:p>
    <w:p>
      <w:pPr>
        <w:pStyle w:val="24"/>
        <w:numPr>
          <w:ilvl w:val="0"/>
          <w:numId w:val="10"/>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30"/>
          <w:szCs w:val="30"/>
        </w:rPr>
      </w:pPr>
      <w:bookmarkStart w:id="151" w:name="_Toc27674"/>
      <w:r>
        <w:rPr>
          <w:rFonts w:hint="eastAsia" w:ascii="宋体" w:hAnsi="宋体" w:eastAsia="宋体"/>
          <w:color w:val="auto"/>
          <w:sz w:val="21"/>
          <w:szCs w:val="21"/>
        </w:rPr>
        <w:t>附件13.业绩表</w:t>
      </w:r>
      <w:bookmarkEnd w:id="151"/>
    </w:p>
    <w:p>
      <w:pPr>
        <w:jc w:val="center"/>
        <w:rPr>
          <w:rFonts w:ascii="黑体" w:eastAsia="黑体"/>
          <w:color w:val="auto"/>
          <w:sz w:val="28"/>
          <w:szCs w:val="28"/>
        </w:rPr>
      </w:pPr>
      <w:r>
        <w:rPr>
          <w:rFonts w:hint="eastAsia" w:ascii="黑体" w:eastAsia="黑体"/>
          <w:color w:val="auto"/>
          <w:sz w:val="28"/>
          <w:szCs w:val="28"/>
        </w:rPr>
        <w:t>业绩表</w:t>
      </w:r>
    </w:p>
    <w:tbl>
      <w:tblPr>
        <w:tblStyle w:val="17"/>
        <w:tblW w:w="85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5"/>
        <w:gridCol w:w="1705"/>
        <w:gridCol w:w="1706"/>
        <w:gridCol w:w="1705"/>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序号</w:t>
            </w:r>
          </w:p>
        </w:tc>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项目名称</w:t>
            </w:r>
          </w:p>
        </w:tc>
        <w:tc>
          <w:tcPr>
            <w:tcW w:w="1706"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项目金额</w:t>
            </w:r>
          </w:p>
        </w:tc>
        <w:tc>
          <w:tcPr>
            <w:tcW w:w="1705"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项目合同签订时间</w:t>
            </w:r>
          </w:p>
        </w:tc>
        <w:tc>
          <w:tcPr>
            <w:tcW w:w="1697" w:type="dxa"/>
            <w:vAlign w:val="center"/>
          </w:tcPr>
          <w:p>
            <w:pPr>
              <w:adjustRightInd/>
              <w:snapToGrid/>
              <w:spacing w:after="0"/>
              <w:jc w:val="center"/>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vAlign w:val="center"/>
          </w:tcPr>
          <w:p>
            <w:pPr>
              <w:adjustRightInd/>
              <w:snapToGrid/>
              <w:spacing w:after="0"/>
              <w:jc w:val="center"/>
              <w:rPr>
                <w:rFonts w:ascii="宋体" w:hAnsi="宋体" w:eastAsia="宋体"/>
                <w:color w:val="auto"/>
                <w:sz w:val="21"/>
                <w:szCs w:val="21"/>
              </w:rPr>
            </w:pPr>
          </w:p>
        </w:tc>
        <w:tc>
          <w:tcPr>
            <w:tcW w:w="1705" w:type="dxa"/>
            <w:vAlign w:val="center"/>
          </w:tcPr>
          <w:p>
            <w:pPr>
              <w:adjustRightInd/>
              <w:snapToGrid/>
              <w:spacing w:after="0"/>
              <w:jc w:val="center"/>
              <w:rPr>
                <w:rFonts w:ascii="宋体" w:hAnsi="宋体" w:eastAsia="宋体"/>
                <w:color w:val="auto"/>
                <w:sz w:val="21"/>
                <w:szCs w:val="21"/>
              </w:rPr>
            </w:pPr>
          </w:p>
        </w:tc>
        <w:tc>
          <w:tcPr>
            <w:tcW w:w="1706" w:type="dxa"/>
            <w:vAlign w:val="center"/>
          </w:tcPr>
          <w:p>
            <w:pPr>
              <w:adjustRightInd/>
              <w:snapToGrid/>
              <w:spacing w:after="0"/>
              <w:jc w:val="center"/>
              <w:rPr>
                <w:rFonts w:ascii="宋体" w:hAnsi="宋体" w:eastAsia="宋体"/>
                <w:color w:val="auto"/>
                <w:sz w:val="21"/>
                <w:szCs w:val="21"/>
              </w:rPr>
            </w:pPr>
          </w:p>
        </w:tc>
        <w:tc>
          <w:tcPr>
            <w:tcW w:w="1705" w:type="dxa"/>
            <w:vAlign w:val="center"/>
          </w:tcPr>
          <w:p>
            <w:pPr>
              <w:adjustRightInd/>
              <w:snapToGrid/>
              <w:spacing w:after="0"/>
              <w:jc w:val="center"/>
              <w:rPr>
                <w:rFonts w:ascii="宋体" w:hAnsi="宋体" w:eastAsia="宋体"/>
                <w:color w:val="auto"/>
                <w:sz w:val="21"/>
                <w:szCs w:val="21"/>
              </w:rPr>
            </w:pPr>
          </w:p>
        </w:tc>
        <w:tc>
          <w:tcPr>
            <w:tcW w:w="1697" w:type="dxa"/>
            <w:vAlign w:val="center"/>
          </w:tcPr>
          <w:p>
            <w:pPr>
              <w:adjustRightInd/>
              <w:snapToGrid/>
              <w:spacing w:after="0"/>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705"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706" w:type="dxa"/>
          </w:tcPr>
          <w:p>
            <w:pPr>
              <w:adjustRightInd/>
              <w:snapToGrid/>
              <w:spacing w:after="0"/>
              <w:rPr>
                <w:rFonts w:ascii="宋体" w:hAnsi="宋体" w:eastAsia="宋体"/>
                <w:color w:val="auto"/>
                <w:sz w:val="21"/>
                <w:szCs w:val="21"/>
              </w:rPr>
            </w:pPr>
          </w:p>
        </w:tc>
        <w:tc>
          <w:tcPr>
            <w:tcW w:w="1705" w:type="dxa"/>
          </w:tcPr>
          <w:p>
            <w:pPr>
              <w:adjustRightInd/>
              <w:snapToGrid/>
              <w:spacing w:after="0"/>
              <w:rPr>
                <w:rFonts w:ascii="宋体" w:hAnsi="宋体" w:eastAsia="宋体"/>
                <w:color w:val="auto"/>
                <w:sz w:val="21"/>
                <w:szCs w:val="21"/>
              </w:rPr>
            </w:pPr>
          </w:p>
        </w:tc>
        <w:tc>
          <w:tcPr>
            <w:tcW w:w="1697" w:type="dxa"/>
          </w:tcPr>
          <w:p>
            <w:pPr>
              <w:adjustRightInd/>
              <w:snapToGrid/>
              <w:spacing w:after="0"/>
              <w:rPr>
                <w:rFonts w:ascii="宋体" w:hAnsi="宋体" w:eastAsia="宋体"/>
                <w:color w:val="auto"/>
                <w:sz w:val="21"/>
                <w:szCs w:val="21"/>
              </w:rPr>
            </w:pPr>
          </w:p>
        </w:tc>
      </w:tr>
    </w:tbl>
    <w:p>
      <w:pPr>
        <w:pStyle w:val="24"/>
        <w:spacing w:after="0"/>
        <w:rPr>
          <w:rFonts w:ascii="宋体" w:hAnsi="宋体" w:eastAsia="宋体"/>
          <w:color w:val="auto"/>
          <w:sz w:val="21"/>
          <w:szCs w:val="21"/>
        </w:rPr>
      </w:pPr>
    </w:p>
    <w:p>
      <w:pPr>
        <w:pStyle w:val="24"/>
        <w:spacing w:after="0"/>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1"/>
        </w:numPr>
        <w:spacing w:after="0" w:line="360" w:lineRule="auto"/>
        <w:rPr>
          <w:rFonts w:ascii="宋体" w:hAnsi="宋体" w:eastAsia="宋体"/>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1"/>
        </w:numPr>
        <w:spacing w:after="0" w:line="360" w:lineRule="auto"/>
        <w:rPr>
          <w:rFonts w:ascii="宋体" w:hAnsi="宋体" w:eastAsia="宋体"/>
          <w:color w:val="auto"/>
          <w:sz w:val="21"/>
          <w:szCs w:val="21"/>
        </w:rPr>
      </w:pPr>
      <w:r>
        <w:rPr>
          <w:rFonts w:hint="eastAsia" w:ascii="宋体" w:hAnsi="宋体" w:eastAsia="宋体"/>
          <w:color w:val="auto"/>
          <w:sz w:val="21"/>
          <w:szCs w:val="21"/>
        </w:rPr>
        <w:t>业绩表所列出的材料应为真实准确的，并应提供相关证明材料复印件加盖公章。请勿提供虚假、过期材料，否则将依据相关规定严肃处理。</w:t>
      </w:r>
    </w:p>
    <w:p>
      <w:pPr>
        <w:pStyle w:val="24"/>
        <w:numPr>
          <w:ilvl w:val="0"/>
          <w:numId w:val="11"/>
        </w:numPr>
        <w:spacing w:after="0"/>
        <w:rPr>
          <w:rFonts w:ascii="宋体" w:hAnsi="宋体" w:eastAsia="宋体"/>
          <w:color w:val="auto"/>
          <w:sz w:val="21"/>
          <w:szCs w:val="21"/>
        </w:rPr>
      </w:pP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152" w:name="_Toc7860"/>
      <w:r>
        <w:rPr>
          <w:rFonts w:hint="eastAsia" w:ascii="宋体" w:hAnsi="宋体" w:eastAsia="宋体"/>
          <w:color w:val="auto"/>
          <w:sz w:val="21"/>
          <w:szCs w:val="21"/>
        </w:rPr>
        <w:t>附件14. 项目实施方案格式</w:t>
      </w:r>
      <w:bookmarkEnd w:id="152"/>
    </w:p>
    <w:p>
      <w:pPr>
        <w:jc w:val="center"/>
        <w:rPr>
          <w:rFonts w:ascii="黑体" w:eastAsia="黑体"/>
          <w:color w:val="auto"/>
          <w:sz w:val="32"/>
          <w:szCs w:val="32"/>
        </w:rPr>
      </w:pPr>
    </w:p>
    <w:p>
      <w:pPr>
        <w:jc w:val="center"/>
        <w:rPr>
          <w:rFonts w:ascii="黑体" w:eastAsia="黑体"/>
          <w:color w:val="auto"/>
          <w:sz w:val="32"/>
          <w:szCs w:val="32"/>
        </w:rPr>
      </w:pPr>
      <w:r>
        <w:rPr>
          <w:rFonts w:hint="eastAsia" w:ascii="黑体" w:eastAsia="黑体"/>
          <w:color w:val="auto"/>
          <w:sz w:val="32"/>
          <w:szCs w:val="32"/>
        </w:rPr>
        <w:t>项目实施方案</w:t>
      </w:r>
    </w:p>
    <w:p>
      <w:pPr>
        <w:jc w:val="center"/>
        <w:rPr>
          <w:rFonts w:ascii="黑体" w:eastAsia="黑体"/>
          <w:color w:val="auto"/>
          <w:sz w:val="32"/>
          <w:szCs w:val="32"/>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1、为完成本项目投标人临时投入的设备</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2、为完成本项目投标人投入的人员以及具体工作安排</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3、投标人为本项目制定的具体项目实施方案与项目实施流程</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4、售后服务方案</w:t>
      </w: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t>5、..........</w:t>
      </w:r>
    </w:p>
    <w:p>
      <w:pPr>
        <w:spacing w:after="0" w:line="360" w:lineRule="auto"/>
        <w:ind w:left="738" w:leftChars="200" w:hanging="298" w:hangingChars="142"/>
        <w:rPr>
          <w:rFonts w:ascii="宋体" w:hAnsi="宋体" w:eastAsia="宋体" w:cs="Times New Roman"/>
          <w:color w:val="auto"/>
          <w:sz w:val="21"/>
          <w:szCs w:val="21"/>
        </w:rPr>
      </w:pPr>
      <w:r>
        <w:rPr>
          <w:rFonts w:hint="eastAsia" w:ascii="宋体" w:hAnsi="宋体" w:eastAsia="宋体"/>
          <w:color w:val="auto"/>
          <w:sz w:val="21"/>
          <w:szCs w:val="21"/>
        </w:rPr>
        <w:t>自行编写。</w:t>
      </w: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p>
    <w:p>
      <w:pPr>
        <w:spacing w:after="0" w:line="360" w:lineRule="auto"/>
        <w:ind w:left="738" w:leftChars="200" w:hanging="298" w:hangingChars="142"/>
        <w:rPr>
          <w:rFonts w:ascii="宋体" w:hAnsi="宋体" w:eastAsia="宋体"/>
          <w:color w:val="auto"/>
          <w:sz w:val="21"/>
          <w:szCs w:val="21"/>
        </w:rPr>
      </w:pP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153" w:name="_Toc8596"/>
      <w:r>
        <w:rPr>
          <w:rFonts w:hint="eastAsia" w:ascii="宋体" w:hAnsi="宋体" w:eastAsia="宋体"/>
          <w:color w:val="auto"/>
          <w:sz w:val="21"/>
          <w:szCs w:val="21"/>
        </w:rPr>
        <w:t>附件15. 实施本项目的有关人员资料表格式</w:t>
      </w:r>
      <w:bookmarkEnd w:id="153"/>
    </w:p>
    <w:p>
      <w:pPr>
        <w:jc w:val="center"/>
        <w:rPr>
          <w:rFonts w:ascii="宋体" w:hAnsi="宋体" w:eastAsia="宋体"/>
          <w:color w:val="auto"/>
          <w:sz w:val="21"/>
          <w:szCs w:val="21"/>
        </w:rPr>
      </w:pPr>
    </w:p>
    <w:p>
      <w:pPr>
        <w:jc w:val="center"/>
        <w:rPr>
          <w:rFonts w:ascii="黑体" w:eastAsia="黑体"/>
          <w:color w:val="auto"/>
          <w:sz w:val="32"/>
          <w:szCs w:val="32"/>
        </w:rPr>
      </w:pPr>
      <w:r>
        <w:rPr>
          <w:rFonts w:hint="eastAsia" w:ascii="黑体" w:eastAsia="黑体"/>
          <w:color w:val="auto"/>
          <w:sz w:val="32"/>
          <w:szCs w:val="32"/>
        </w:rPr>
        <w:t>实施本项目的有关人员资料表</w:t>
      </w:r>
    </w:p>
    <w:tbl>
      <w:tblPr>
        <w:tblStyle w:val="16"/>
        <w:tblW w:w="7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822"/>
        <w:gridCol w:w="1392"/>
        <w:gridCol w:w="763"/>
        <w:gridCol w:w="708"/>
        <w:gridCol w:w="851"/>
        <w:gridCol w:w="850"/>
        <w:gridCol w:w="788"/>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序号</w:t>
            </w:r>
          </w:p>
        </w:tc>
        <w:tc>
          <w:tcPr>
            <w:tcW w:w="82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姓名</w:t>
            </w:r>
          </w:p>
        </w:tc>
        <w:tc>
          <w:tcPr>
            <w:tcW w:w="1392"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本项目拟任岗位</w:t>
            </w:r>
          </w:p>
        </w:tc>
        <w:tc>
          <w:tcPr>
            <w:tcW w:w="763"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性别</w:t>
            </w:r>
          </w:p>
        </w:tc>
        <w:tc>
          <w:tcPr>
            <w:tcW w:w="70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年龄</w:t>
            </w:r>
          </w:p>
        </w:tc>
        <w:tc>
          <w:tcPr>
            <w:tcW w:w="851"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技术职称</w:t>
            </w:r>
          </w:p>
        </w:tc>
        <w:tc>
          <w:tcPr>
            <w:tcW w:w="850"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专 业</w:t>
            </w:r>
          </w:p>
        </w:tc>
        <w:tc>
          <w:tcPr>
            <w:tcW w:w="788" w:type="dxa"/>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资质证书</w:t>
            </w:r>
          </w:p>
        </w:tc>
        <w:tc>
          <w:tcPr>
            <w:tcW w:w="1090" w:type="dxa"/>
            <w:tcBorders>
              <w:right w:val="single" w:color="auto" w:sz="6" w:space="0"/>
            </w:tcBorders>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ascii="宋体" w:hAnsi="宋体" w:eastAsia="宋体"/>
                <w:color w:val="auto"/>
                <w:sz w:val="21"/>
                <w:szCs w:val="21"/>
              </w:rPr>
            </w:pPr>
            <w:r>
              <w:rPr>
                <w:rFonts w:hint="eastAsia" w:ascii="宋体" w:hAnsi="宋体" w:eastAsia="宋体"/>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60" w:type="dxa"/>
            <w:vAlign w:val="center"/>
          </w:tcPr>
          <w:p>
            <w:pPr>
              <w:spacing w:line="288" w:lineRule="auto"/>
              <w:jc w:val="center"/>
              <w:rPr>
                <w:rFonts w:ascii="宋体" w:hAnsi="宋体" w:eastAsia="宋体"/>
                <w:color w:val="auto"/>
                <w:sz w:val="21"/>
                <w:szCs w:val="21"/>
              </w:rPr>
            </w:pPr>
          </w:p>
        </w:tc>
        <w:tc>
          <w:tcPr>
            <w:tcW w:w="822" w:type="dxa"/>
            <w:vAlign w:val="center"/>
          </w:tcPr>
          <w:p>
            <w:pPr>
              <w:spacing w:line="288" w:lineRule="auto"/>
              <w:jc w:val="center"/>
              <w:rPr>
                <w:rFonts w:ascii="宋体" w:hAnsi="宋体" w:eastAsia="宋体"/>
                <w:color w:val="auto"/>
                <w:sz w:val="21"/>
                <w:szCs w:val="21"/>
              </w:rPr>
            </w:pPr>
          </w:p>
        </w:tc>
        <w:tc>
          <w:tcPr>
            <w:tcW w:w="1392" w:type="dxa"/>
            <w:vAlign w:val="center"/>
          </w:tcPr>
          <w:p>
            <w:pPr>
              <w:spacing w:line="288" w:lineRule="auto"/>
              <w:jc w:val="center"/>
              <w:rPr>
                <w:rFonts w:ascii="宋体" w:hAnsi="宋体" w:eastAsia="宋体"/>
                <w:color w:val="auto"/>
                <w:sz w:val="21"/>
                <w:szCs w:val="21"/>
              </w:rPr>
            </w:pPr>
          </w:p>
        </w:tc>
        <w:tc>
          <w:tcPr>
            <w:tcW w:w="763" w:type="dxa"/>
            <w:vAlign w:val="center"/>
          </w:tcPr>
          <w:p>
            <w:pPr>
              <w:spacing w:line="288" w:lineRule="auto"/>
              <w:jc w:val="center"/>
              <w:rPr>
                <w:rFonts w:ascii="宋体" w:hAnsi="宋体" w:eastAsia="宋体"/>
                <w:color w:val="auto"/>
                <w:sz w:val="21"/>
                <w:szCs w:val="21"/>
              </w:rPr>
            </w:pPr>
          </w:p>
        </w:tc>
        <w:tc>
          <w:tcPr>
            <w:tcW w:w="708" w:type="dxa"/>
            <w:vAlign w:val="center"/>
          </w:tcPr>
          <w:p>
            <w:pPr>
              <w:spacing w:line="288" w:lineRule="auto"/>
              <w:jc w:val="center"/>
              <w:rPr>
                <w:rFonts w:ascii="宋体" w:hAnsi="宋体" w:eastAsia="宋体"/>
                <w:color w:val="auto"/>
                <w:sz w:val="21"/>
                <w:szCs w:val="21"/>
              </w:rPr>
            </w:pPr>
          </w:p>
        </w:tc>
        <w:tc>
          <w:tcPr>
            <w:tcW w:w="851" w:type="dxa"/>
            <w:vAlign w:val="center"/>
          </w:tcPr>
          <w:p>
            <w:pPr>
              <w:spacing w:line="288" w:lineRule="auto"/>
              <w:jc w:val="center"/>
              <w:rPr>
                <w:rFonts w:ascii="宋体" w:hAnsi="宋体" w:eastAsia="宋体"/>
                <w:color w:val="auto"/>
                <w:sz w:val="21"/>
                <w:szCs w:val="21"/>
              </w:rPr>
            </w:pPr>
          </w:p>
        </w:tc>
        <w:tc>
          <w:tcPr>
            <w:tcW w:w="850" w:type="dxa"/>
            <w:vAlign w:val="center"/>
          </w:tcPr>
          <w:p>
            <w:pPr>
              <w:spacing w:line="288" w:lineRule="auto"/>
              <w:jc w:val="center"/>
              <w:rPr>
                <w:rFonts w:ascii="宋体" w:hAnsi="宋体" w:eastAsia="宋体"/>
                <w:color w:val="auto"/>
                <w:sz w:val="21"/>
                <w:szCs w:val="21"/>
              </w:rPr>
            </w:pPr>
          </w:p>
        </w:tc>
        <w:tc>
          <w:tcPr>
            <w:tcW w:w="788" w:type="dxa"/>
            <w:vAlign w:val="center"/>
          </w:tcPr>
          <w:p>
            <w:pPr>
              <w:spacing w:line="288" w:lineRule="auto"/>
              <w:jc w:val="center"/>
              <w:rPr>
                <w:rFonts w:ascii="宋体" w:hAnsi="宋体" w:eastAsia="宋体"/>
                <w:color w:val="auto"/>
                <w:sz w:val="21"/>
                <w:szCs w:val="21"/>
              </w:rPr>
            </w:pPr>
          </w:p>
        </w:tc>
        <w:tc>
          <w:tcPr>
            <w:tcW w:w="1090" w:type="dxa"/>
            <w:tcBorders>
              <w:right w:val="single" w:color="auto" w:sz="6" w:space="0"/>
            </w:tcBorders>
            <w:vAlign w:val="center"/>
          </w:tcPr>
          <w:p>
            <w:pPr>
              <w:spacing w:line="288" w:lineRule="auto"/>
              <w:jc w:val="center"/>
              <w:rPr>
                <w:rFonts w:ascii="宋体" w:hAnsi="宋体" w:eastAsia="宋体"/>
                <w:color w:val="auto"/>
                <w:sz w:val="21"/>
                <w:szCs w:val="21"/>
              </w:rPr>
            </w:pPr>
          </w:p>
        </w:tc>
      </w:tr>
    </w:tbl>
    <w:p>
      <w:pPr>
        <w:ind w:firstLine="178" w:firstLineChars="85"/>
        <w:rPr>
          <w:rFonts w:ascii="宋体" w:hAnsi="宋体" w:eastAsia="宋体"/>
          <w:color w:val="auto"/>
          <w:sz w:val="21"/>
          <w:szCs w:val="21"/>
        </w:rPr>
      </w:pPr>
    </w:p>
    <w:p>
      <w:pPr>
        <w:ind w:firstLine="178" w:firstLineChars="85"/>
        <w:rPr>
          <w:rFonts w:ascii="宋体" w:hAnsi="宋体" w:eastAsia="宋体"/>
          <w:color w:val="auto"/>
          <w:sz w:val="21"/>
          <w:szCs w:val="21"/>
        </w:rPr>
      </w:pPr>
      <w:r>
        <w:rPr>
          <w:rFonts w:hint="eastAsia" w:ascii="宋体" w:hAnsi="宋体" w:eastAsia="宋体"/>
          <w:color w:val="auto"/>
          <w:sz w:val="21"/>
          <w:szCs w:val="21"/>
        </w:rPr>
        <w:t>附有关证明文件（复印件加盖公章）</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投标人代表签字：</w:t>
      </w:r>
    </w:p>
    <w:p>
      <w:pPr>
        <w:ind w:firstLine="178" w:firstLineChars="85"/>
        <w:rPr>
          <w:rFonts w:ascii="宋体" w:hAnsi="宋体" w:eastAsia="宋体"/>
          <w:color w:val="auto"/>
          <w:sz w:val="21"/>
          <w:szCs w:val="21"/>
        </w:rPr>
      </w:pPr>
      <w:r>
        <w:rPr>
          <w:rFonts w:hint="eastAsia" w:ascii="宋体" w:hAnsi="宋体" w:eastAsia="宋体"/>
          <w:color w:val="auto"/>
          <w:sz w:val="21"/>
          <w:szCs w:val="21"/>
        </w:rPr>
        <w:t>投标人盖章：</w:t>
      </w:r>
    </w:p>
    <w:p>
      <w:pPr>
        <w:rPr>
          <w:rFonts w:ascii="宋体" w:hAnsi="宋体" w:eastAsia="宋体"/>
          <w:color w:val="auto"/>
          <w:sz w:val="21"/>
          <w:szCs w:val="21"/>
        </w:rPr>
      </w:pPr>
      <w:r>
        <w:rPr>
          <w:rFonts w:hint="eastAsia" w:ascii="宋体" w:hAnsi="宋体" w:eastAsia="宋体"/>
          <w:color w:val="auto"/>
          <w:sz w:val="21"/>
          <w:szCs w:val="21"/>
        </w:rPr>
        <w:t>注：</w:t>
      </w:r>
    </w:p>
    <w:p>
      <w:pPr>
        <w:pStyle w:val="24"/>
        <w:numPr>
          <w:ilvl w:val="0"/>
          <w:numId w:val="12"/>
        </w:numPr>
        <w:ind w:firstLineChars="0"/>
        <w:rPr>
          <w:rFonts w:ascii="宋体" w:hAnsi="宋体" w:eastAsia="宋体"/>
          <w:color w:val="auto"/>
          <w:sz w:val="21"/>
          <w:szCs w:val="21"/>
        </w:rPr>
      </w:pPr>
      <w:r>
        <w:rPr>
          <w:rFonts w:hint="eastAsia" w:ascii="宋体" w:hAnsi="宋体" w:eastAsia="宋体"/>
          <w:color w:val="auto"/>
          <w:sz w:val="21"/>
          <w:szCs w:val="21"/>
        </w:rPr>
        <w:t>投标人可按项目的实际需要</w:t>
      </w:r>
      <w:r>
        <w:rPr>
          <w:rFonts w:hint="eastAsia" w:ascii="宋体" w:hAnsi="宋体" w:eastAsia="宋体"/>
          <w:color w:val="auto"/>
          <w:sz w:val="21"/>
          <w:szCs w:val="21"/>
          <w:lang w:eastAsia="zh-CN"/>
        </w:rPr>
        <w:t>或招标文件的要求</w:t>
      </w:r>
      <w:r>
        <w:rPr>
          <w:rFonts w:hint="eastAsia" w:ascii="宋体" w:hAnsi="宋体" w:eastAsia="宋体"/>
          <w:color w:val="auto"/>
          <w:sz w:val="21"/>
          <w:szCs w:val="21"/>
        </w:rPr>
        <w:t>提供本表格。</w:t>
      </w:r>
    </w:p>
    <w:p>
      <w:pPr>
        <w:pStyle w:val="24"/>
        <w:numPr>
          <w:ilvl w:val="0"/>
          <w:numId w:val="12"/>
        </w:numPr>
        <w:ind w:firstLineChars="0"/>
        <w:rPr>
          <w:rFonts w:ascii="宋体" w:hAnsi="宋体" w:eastAsia="宋体" w:cs="Times New Roman"/>
          <w:color w:val="auto"/>
          <w:sz w:val="21"/>
          <w:szCs w:val="21"/>
        </w:rPr>
      </w:pPr>
      <w:r>
        <w:rPr>
          <w:rFonts w:hint="eastAsia" w:ascii="宋体" w:hAnsi="宋体" w:eastAsia="宋体"/>
          <w:color w:val="auto"/>
          <w:sz w:val="21"/>
          <w:szCs w:val="21"/>
        </w:rPr>
        <w:t>该表格为参考格式，投标人可按实际情况自行制订。</w:t>
      </w:r>
    </w:p>
    <w:p>
      <w:pPr>
        <w:pStyle w:val="24"/>
        <w:numPr>
          <w:ilvl w:val="0"/>
          <w:numId w:val="12"/>
        </w:numPr>
        <w:ind w:firstLineChars="0"/>
        <w:rPr>
          <w:rFonts w:ascii="宋体" w:hAnsi="宋体" w:eastAsia="宋体" w:cs="Times New Roman"/>
          <w:color w:val="auto"/>
          <w:sz w:val="21"/>
          <w:szCs w:val="21"/>
        </w:rPr>
      </w:pPr>
      <w:r>
        <w:rPr>
          <w:rFonts w:hint="eastAsia" w:ascii="宋体" w:hAnsi="宋体" w:eastAsia="宋体"/>
          <w:color w:val="auto"/>
          <w:sz w:val="21"/>
          <w:szCs w:val="21"/>
          <w:lang w:eastAsia="zh-CN"/>
        </w:rPr>
        <w:t>如本项目不涉及此表内容，则无需提供此表。</w:t>
      </w: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154" w:name="_Toc21598"/>
      <w:r>
        <w:rPr>
          <w:rFonts w:hint="eastAsia" w:ascii="宋体" w:hAnsi="宋体" w:eastAsia="宋体"/>
          <w:color w:val="auto"/>
          <w:sz w:val="21"/>
          <w:szCs w:val="21"/>
        </w:rPr>
        <w:t>附件16.投标货物说明一览表格式</w:t>
      </w:r>
      <w:bookmarkEnd w:id="154"/>
    </w:p>
    <w:p>
      <w:pPr>
        <w:jc w:val="center"/>
        <w:rPr>
          <w:rFonts w:ascii="黑体" w:eastAsia="黑体"/>
          <w:color w:val="auto"/>
          <w:sz w:val="28"/>
          <w:szCs w:val="28"/>
        </w:rPr>
      </w:pPr>
    </w:p>
    <w:p>
      <w:pPr>
        <w:jc w:val="center"/>
        <w:rPr>
          <w:rFonts w:ascii="黑体" w:eastAsia="黑体" w:cs="Times New Roman"/>
          <w:color w:val="auto"/>
          <w:sz w:val="28"/>
          <w:szCs w:val="28"/>
        </w:rPr>
      </w:pPr>
      <w:r>
        <w:rPr>
          <w:rFonts w:hint="eastAsia" w:ascii="黑体" w:eastAsia="黑体" w:cs="Times New Roman"/>
          <w:color w:val="auto"/>
          <w:sz w:val="28"/>
          <w:szCs w:val="28"/>
        </w:rPr>
        <w:t>投标货物说明一览表</w:t>
      </w:r>
    </w:p>
    <w:tbl>
      <w:tblPr>
        <w:tblStyle w:val="1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775"/>
        <w:gridCol w:w="1618"/>
        <w:gridCol w:w="1217"/>
        <w:gridCol w:w="1656"/>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序号</w:t>
            </w:r>
          </w:p>
        </w:tc>
        <w:tc>
          <w:tcPr>
            <w:tcW w:w="1775"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货物名称</w:t>
            </w:r>
          </w:p>
        </w:tc>
        <w:tc>
          <w:tcPr>
            <w:tcW w:w="1618"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规格型号</w:t>
            </w:r>
          </w:p>
        </w:tc>
        <w:tc>
          <w:tcPr>
            <w:tcW w:w="1217"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数量</w:t>
            </w:r>
          </w:p>
        </w:tc>
        <w:tc>
          <w:tcPr>
            <w:tcW w:w="1656"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单价</w:t>
            </w:r>
          </w:p>
        </w:tc>
        <w:tc>
          <w:tcPr>
            <w:tcW w:w="1305" w:type="dxa"/>
            <w:vAlign w:val="center"/>
          </w:tcPr>
          <w:p>
            <w:pPr>
              <w:spacing w:after="0"/>
              <w:jc w:val="center"/>
              <w:rPr>
                <w:rFonts w:ascii="宋体" w:hAnsi="宋体" w:eastAsia="宋体" w:cs="Times New Roman"/>
                <w:color w:val="auto"/>
                <w:sz w:val="21"/>
                <w:szCs w:val="21"/>
              </w:rPr>
            </w:pPr>
            <w:r>
              <w:rPr>
                <w:rFonts w:hint="eastAsia" w:ascii="宋体" w:hAnsi="宋体" w:eastAsia="宋体" w:cs="Times New Roman"/>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51" w:type="dxa"/>
            <w:vAlign w:val="center"/>
          </w:tcPr>
          <w:p>
            <w:pPr>
              <w:spacing w:after="0"/>
              <w:jc w:val="center"/>
              <w:rPr>
                <w:rFonts w:ascii="宋体" w:hAnsi="宋体" w:eastAsia="宋体" w:cs="Times New Roman"/>
                <w:color w:val="auto"/>
                <w:sz w:val="21"/>
                <w:szCs w:val="21"/>
              </w:rPr>
            </w:pPr>
          </w:p>
        </w:tc>
        <w:tc>
          <w:tcPr>
            <w:tcW w:w="1775" w:type="dxa"/>
            <w:vAlign w:val="center"/>
          </w:tcPr>
          <w:p>
            <w:pPr>
              <w:spacing w:after="0"/>
              <w:jc w:val="center"/>
              <w:rPr>
                <w:rFonts w:ascii="宋体" w:hAnsi="宋体" w:eastAsia="宋体" w:cs="Times New Roman"/>
                <w:color w:val="auto"/>
                <w:sz w:val="21"/>
                <w:szCs w:val="21"/>
              </w:rPr>
            </w:pPr>
          </w:p>
        </w:tc>
        <w:tc>
          <w:tcPr>
            <w:tcW w:w="1618" w:type="dxa"/>
            <w:vAlign w:val="center"/>
          </w:tcPr>
          <w:p>
            <w:pPr>
              <w:spacing w:after="0"/>
              <w:jc w:val="center"/>
              <w:rPr>
                <w:rFonts w:ascii="宋体" w:hAnsi="宋体" w:eastAsia="宋体" w:cs="Times New Roman"/>
                <w:color w:val="auto"/>
                <w:sz w:val="21"/>
                <w:szCs w:val="21"/>
              </w:rPr>
            </w:pPr>
          </w:p>
        </w:tc>
        <w:tc>
          <w:tcPr>
            <w:tcW w:w="1217" w:type="dxa"/>
            <w:vAlign w:val="center"/>
          </w:tcPr>
          <w:p>
            <w:pPr>
              <w:spacing w:after="0"/>
              <w:jc w:val="center"/>
              <w:rPr>
                <w:rFonts w:ascii="宋体" w:hAnsi="宋体" w:eastAsia="宋体" w:cs="Times New Roman"/>
                <w:color w:val="auto"/>
                <w:sz w:val="21"/>
                <w:szCs w:val="21"/>
              </w:rPr>
            </w:pPr>
          </w:p>
        </w:tc>
        <w:tc>
          <w:tcPr>
            <w:tcW w:w="1656" w:type="dxa"/>
            <w:vAlign w:val="center"/>
          </w:tcPr>
          <w:p>
            <w:pPr>
              <w:spacing w:after="0"/>
              <w:jc w:val="center"/>
              <w:rPr>
                <w:rFonts w:ascii="宋体" w:hAnsi="宋体" w:eastAsia="宋体" w:cs="Times New Roman"/>
                <w:color w:val="auto"/>
                <w:sz w:val="21"/>
                <w:szCs w:val="21"/>
              </w:rPr>
            </w:pPr>
          </w:p>
        </w:tc>
        <w:tc>
          <w:tcPr>
            <w:tcW w:w="1305" w:type="dxa"/>
            <w:vAlign w:val="center"/>
          </w:tcPr>
          <w:p>
            <w:pPr>
              <w:spacing w:after="0"/>
              <w:jc w:val="center"/>
              <w:rPr>
                <w:rFonts w:ascii="宋体" w:hAnsi="宋体" w:eastAsia="宋体" w:cs="Times New Roman"/>
                <w:color w:val="auto"/>
                <w:sz w:val="21"/>
                <w:szCs w:val="21"/>
              </w:rPr>
            </w:pPr>
          </w:p>
        </w:tc>
      </w:tr>
    </w:tbl>
    <w:p>
      <w:pPr>
        <w:spacing w:after="0"/>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投标人代表签字：</w:t>
      </w:r>
    </w:p>
    <w:p>
      <w:pPr>
        <w:rPr>
          <w:rFonts w:ascii="宋体" w:hAnsi="宋体" w:eastAsia="宋体" w:cs="Times New Roman"/>
          <w:color w:val="auto"/>
          <w:sz w:val="21"/>
          <w:szCs w:val="21"/>
        </w:rPr>
      </w:pPr>
      <w:r>
        <w:rPr>
          <w:rFonts w:hint="eastAsia" w:ascii="宋体" w:hAnsi="宋体" w:eastAsia="宋体" w:cs="Times New Roman"/>
          <w:color w:val="auto"/>
          <w:sz w:val="21"/>
          <w:szCs w:val="21"/>
        </w:rPr>
        <w:t>投标人盖章：</w:t>
      </w:r>
    </w:p>
    <w:p>
      <w:pPr>
        <w:rPr>
          <w:rFonts w:ascii="宋体" w:hAnsi="宋体" w:eastAsia="宋体" w:cs="Times New Roman"/>
          <w:color w:val="auto"/>
          <w:sz w:val="21"/>
          <w:szCs w:val="21"/>
        </w:rPr>
      </w:pPr>
    </w:p>
    <w:p>
      <w:pPr>
        <w:rPr>
          <w:rFonts w:ascii="宋体" w:hAnsi="宋体" w:eastAsia="宋体" w:cs="Times New Roman"/>
          <w:color w:val="auto"/>
          <w:sz w:val="21"/>
          <w:szCs w:val="21"/>
        </w:rPr>
      </w:pPr>
      <w:r>
        <w:rPr>
          <w:rFonts w:hint="eastAsia" w:ascii="宋体" w:hAnsi="宋体" w:eastAsia="宋体" w:cs="Times New Roman"/>
          <w:color w:val="auto"/>
          <w:sz w:val="21"/>
          <w:szCs w:val="21"/>
        </w:rPr>
        <w:t>注：</w:t>
      </w:r>
    </w:p>
    <w:p>
      <w:pPr>
        <w:pStyle w:val="24"/>
        <w:ind w:firstLine="0" w:firstLineChars="0"/>
        <w:rPr>
          <w:rFonts w:ascii="宋体" w:hAnsi="宋体" w:eastAsia="宋体"/>
          <w:color w:val="auto"/>
          <w:sz w:val="21"/>
          <w:szCs w:val="21"/>
        </w:rPr>
      </w:pPr>
      <w:r>
        <w:rPr>
          <w:rFonts w:hint="eastAsia" w:ascii="宋体" w:hAnsi="宋体" w:eastAsia="宋体"/>
          <w:color w:val="auto"/>
          <w:sz w:val="21"/>
          <w:szCs w:val="21"/>
        </w:rPr>
        <w:t>1、投标人可按项目的实际需要提供本表格。</w:t>
      </w:r>
    </w:p>
    <w:p>
      <w:pPr>
        <w:pStyle w:val="24"/>
        <w:ind w:firstLine="0" w:firstLineChars="0"/>
        <w:rPr>
          <w:rFonts w:hint="eastAsia" w:ascii="宋体" w:hAnsi="宋体" w:eastAsia="宋体"/>
          <w:color w:val="auto"/>
          <w:sz w:val="21"/>
          <w:szCs w:val="21"/>
        </w:rPr>
      </w:pPr>
      <w:r>
        <w:rPr>
          <w:rFonts w:hint="eastAsia" w:ascii="宋体" w:hAnsi="宋体" w:eastAsia="宋体"/>
          <w:color w:val="auto"/>
          <w:sz w:val="21"/>
          <w:szCs w:val="21"/>
        </w:rPr>
        <w:t>2、该表格为参考格式，投标人可按实际情况自行制订。</w:t>
      </w:r>
    </w:p>
    <w:p>
      <w:pPr>
        <w:pStyle w:val="24"/>
        <w:ind w:firstLine="0" w:firstLineChars="0"/>
        <w:rPr>
          <w:rFonts w:ascii="宋体" w:hAnsi="宋体" w:eastAsia="宋体"/>
          <w:color w:val="auto"/>
          <w:sz w:val="21"/>
          <w:szCs w:val="21"/>
        </w:rPr>
      </w:pPr>
      <w:r>
        <w:rPr>
          <w:rFonts w:hint="eastAsia" w:ascii="宋体" w:hAnsi="宋体" w:eastAsia="宋体"/>
          <w:color w:val="auto"/>
          <w:sz w:val="21"/>
          <w:szCs w:val="21"/>
        </w:rPr>
        <w:t>3、如本项目不涉及此表内容，则无需提供此表。</w:t>
      </w:r>
      <w:r>
        <w:rPr>
          <w:rFonts w:hint="eastAsia" w:ascii="宋体" w:hAnsi="宋体" w:eastAsia="宋体"/>
          <w:color w:val="auto"/>
          <w:sz w:val="21"/>
          <w:szCs w:val="21"/>
        </w:rPr>
        <w:br w:type="page"/>
      </w:r>
    </w:p>
    <w:p>
      <w:pPr>
        <w:pStyle w:val="4"/>
        <w:widowControl w:val="0"/>
        <w:overflowPunct w:val="0"/>
        <w:spacing w:before="0" w:after="0" w:line="240" w:lineRule="auto"/>
        <w:rPr>
          <w:rFonts w:ascii="楷体_GB2312" w:eastAsia="楷体_GB2312"/>
          <w:color w:val="auto"/>
          <w:sz w:val="24"/>
        </w:rPr>
      </w:pPr>
      <w:bookmarkStart w:id="155" w:name="_Toc10094"/>
      <w:r>
        <w:rPr>
          <w:rFonts w:hint="eastAsia" w:ascii="宋体" w:hAnsi="宋体" w:eastAsia="宋体"/>
          <w:color w:val="auto"/>
          <w:sz w:val="21"/>
          <w:szCs w:val="21"/>
        </w:rPr>
        <w:t>附件17.在经营活动中没有重大违法记录的书面声明格式</w:t>
      </w:r>
      <w:bookmarkEnd w:id="155"/>
    </w:p>
    <w:p>
      <w:pPr>
        <w:rPr>
          <w:color w:val="auto"/>
        </w:rPr>
      </w:pPr>
    </w:p>
    <w:p>
      <w:pPr>
        <w:jc w:val="center"/>
        <w:rPr>
          <w:rFonts w:ascii="黑体" w:eastAsia="黑体"/>
          <w:color w:val="auto"/>
          <w:sz w:val="28"/>
          <w:szCs w:val="28"/>
        </w:rPr>
      </w:pPr>
      <w:r>
        <w:rPr>
          <w:rFonts w:hint="eastAsia" w:ascii="黑体" w:eastAsia="黑体"/>
          <w:color w:val="auto"/>
          <w:sz w:val="28"/>
          <w:szCs w:val="28"/>
        </w:rPr>
        <w:t>投标人在参与政府采购活动前三年未有重大违法记录、没有不良信用记录的声明函</w:t>
      </w:r>
    </w:p>
    <w:p>
      <w:pPr>
        <w:spacing w:after="0" w:line="360" w:lineRule="auto"/>
        <w:ind w:firstLine="420" w:firstLineChars="200"/>
        <w:rPr>
          <w:rFonts w:ascii="宋体" w:hAnsi="宋体" w:eastAsia="宋体" w:cs="宋体"/>
          <w:color w:val="auto"/>
          <w:sz w:val="21"/>
          <w:szCs w:val="21"/>
        </w:rPr>
      </w:pP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三方诚信招标有限公司东莞分公司：</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我公司郑重承诺：在参加“</w:t>
      </w:r>
      <w:r>
        <w:rPr>
          <w:rFonts w:hint="eastAsia" w:ascii="宋体" w:hAnsi="宋体" w:eastAsia="宋体" w:cs="宋体"/>
          <w:color w:val="auto"/>
          <w:sz w:val="21"/>
          <w:szCs w:val="21"/>
          <w:u w:val="single"/>
        </w:rPr>
        <w:t xml:space="preserve">       （采购项目名称）</w:t>
      </w:r>
      <w:r>
        <w:rPr>
          <w:rFonts w:hint="eastAsia" w:ascii="宋体" w:hAnsi="宋体" w:eastAsia="宋体" w:cs="宋体"/>
          <w:color w:val="auto"/>
          <w:sz w:val="21"/>
          <w:szCs w:val="21"/>
        </w:rPr>
        <w:t>” （项目编号: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活动前三年内（设立不满三年的从设立之日计算），在经营活动中没有重大违法记录；至本项目提交投标文件截止时间止未被列入“信用中国”网站及“中国政府采购网”失信被执行人、重大税收违法案件当事人名单、政府采购严重违法失信行为记录名单。</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我公司以上承诺均为真实有效，绝无任何虚假、伪造的成份，否则，愿承担相应的后果和法律责任。</w:t>
      </w:r>
    </w:p>
    <w:p>
      <w:pPr>
        <w:spacing w:after="0" w:line="360" w:lineRule="auto"/>
        <w:ind w:firstLine="420" w:firstLineChars="200"/>
        <w:rPr>
          <w:rFonts w:ascii="宋体" w:hAnsi="宋体" w:eastAsia="宋体" w:cs="宋体"/>
          <w:color w:val="auto"/>
          <w:sz w:val="21"/>
          <w:szCs w:val="21"/>
        </w:rPr>
      </w:pP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投标人名称（盖章）：</w:t>
      </w:r>
    </w:p>
    <w:p>
      <w:pPr>
        <w:spacing w:after="0" w:line="360" w:lineRule="auto"/>
        <w:rPr>
          <w:rFonts w:ascii="宋体" w:hAnsi="宋体" w:eastAsia="宋体" w:cs="宋体"/>
          <w:color w:val="auto"/>
          <w:sz w:val="21"/>
          <w:szCs w:val="21"/>
        </w:rPr>
      </w:pPr>
    </w:p>
    <w:p>
      <w:pPr>
        <w:spacing w:after="0" w:line="36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日期：</w:t>
      </w:r>
    </w:p>
    <w:p>
      <w:pPr>
        <w:adjustRightInd/>
        <w:snapToGrid/>
        <w:spacing w:line="276" w:lineRule="auto"/>
        <w:rPr>
          <w:rFonts w:ascii="楷体_GB2312" w:eastAsia="楷体_GB2312" w:hAnsiTheme="majorHAnsi" w:cstheme="majorBidi"/>
          <w:b/>
          <w:bCs/>
          <w:color w:val="auto"/>
          <w:sz w:val="24"/>
          <w:szCs w:val="28"/>
        </w:rPr>
      </w:pPr>
      <w:bookmarkStart w:id="156" w:name="_Toc417907703"/>
      <w:r>
        <w:rPr>
          <w:rFonts w:ascii="楷体_GB2312" w:eastAsia="楷体_GB2312"/>
          <w:color w:val="auto"/>
          <w:sz w:val="24"/>
        </w:rPr>
        <w:br w:type="page"/>
      </w:r>
    </w:p>
    <w:p>
      <w:pPr>
        <w:pStyle w:val="4"/>
        <w:widowControl w:val="0"/>
        <w:overflowPunct w:val="0"/>
        <w:spacing w:before="0" w:after="0" w:line="240" w:lineRule="auto"/>
        <w:rPr>
          <w:color w:val="auto"/>
        </w:rPr>
      </w:pPr>
      <w:bookmarkStart w:id="157" w:name="_Toc21223"/>
      <w:r>
        <w:rPr>
          <w:rFonts w:hint="eastAsia" w:ascii="宋体" w:hAnsi="宋体" w:eastAsia="宋体"/>
          <w:color w:val="auto"/>
          <w:sz w:val="21"/>
          <w:szCs w:val="21"/>
        </w:rPr>
        <w:t>附件18. 中小企业声明函（投标人为中小企业时适用）</w:t>
      </w:r>
      <w:bookmarkEnd w:id="156"/>
      <w:bookmarkEnd w:id="157"/>
    </w:p>
    <w:p>
      <w:pPr>
        <w:jc w:val="center"/>
        <w:rPr>
          <w:rFonts w:ascii="微软雅黑" w:hAnsi="微软雅黑" w:cs="微软雅黑"/>
          <w:b/>
          <w:color w:val="auto"/>
          <w:sz w:val="28"/>
          <w:szCs w:val="28"/>
        </w:rPr>
      </w:pPr>
    </w:p>
    <w:p>
      <w:pPr>
        <w:jc w:val="center"/>
        <w:rPr>
          <w:rFonts w:ascii="黑体" w:eastAsia="黑体"/>
          <w:color w:val="auto"/>
          <w:sz w:val="28"/>
          <w:szCs w:val="28"/>
        </w:rPr>
      </w:pPr>
      <w:r>
        <w:rPr>
          <w:rFonts w:hint="eastAsia" w:ascii="黑体" w:eastAsia="黑体"/>
          <w:color w:val="auto"/>
          <w:sz w:val="28"/>
          <w:szCs w:val="28"/>
        </w:rPr>
        <w:t>中小企业声明函</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本公司郑重声明，根据《政府采购促进中小企业发展暂行办法》（财库[2011]181号）的规定，本公司为</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企业。即，本公司同时满足以下条件：</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1、根据《工业和信息化部、国家统计局、国家发展和改革委员会、财政部关于印发中小企业划型标准规定的通知》（工信部联企业[2011]300号）规定的划分标准，本公司为</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2、本公司参加</w:t>
      </w:r>
      <w:r>
        <w:rPr>
          <w:rFonts w:hint="eastAsia" w:ascii="宋体" w:hAnsi="宋体" w:eastAsia="宋体"/>
          <w:color w:val="auto"/>
          <w:sz w:val="21"/>
          <w:szCs w:val="21"/>
          <w:u w:val="single"/>
        </w:rPr>
        <w:t>　　（采购人）　　</w:t>
      </w:r>
      <w:r>
        <w:rPr>
          <w:rFonts w:hint="eastAsia" w:ascii="宋体" w:hAnsi="宋体" w:eastAsia="宋体"/>
          <w:color w:val="auto"/>
          <w:sz w:val="21"/>
          <w:szCs w:val="21"/>
        </w:rPr>
        <w:t>的</w:t>
      </w:r>
      <w:r>
        <w:rPr>
          <w:rFonts w:hint="eastAsia" w:ascii="宋体" w:hAnsi="宋体" w:eastAsia="宋体"/>
          <w:color w:val="auto"/>
          <w:sz w:val="21"/>
          <w:szCs w:val="21"/>
          <w:u w:val="single"/>
        </w:rPr>
        <w:t>　　（采购项目）　　</w:t>
      </w:r>
      <w:r>
        <w:rPr>
          <w:rFonts w:hint="eastAsia" w:ascii="宋体" w:hAnsi="宋体" w:eastAsia="宋体"/>
          <w:color w:val="auto"/>
          <w:sz w:val="21"/>
          <w:szCs w:val="21"/>
        </w:rPr>
        <w:t>采购活动提供本企业制造的货物，由本企业承担工程、提供服务，或者提供其他</w:t>
      </w:r>
      <w:r>
        <w:rPr>
          <w:rFonts w:hint="eastAsia" w:ascii="宋体" w:hAnsi="宋体" w:eastAsia="宋体"/>
          <w:color w:val="auto"/>
          <w:sz w:val="21"/>
          <w:szCs w:val="21"/>
          <w:u w:val="single"/>
        </w:rPr>
        <w:t>　（请填写：中型、小型、微型）　</w:t>
      </w:r>
      <w:r>
        <w:rPr>
          <w:rFonts w:hint="eastAsia" w:ascii="宋体" w:hAnsi="宋体" w:eastAsia="宋体"/>
          <w:color w:val="auto"/>
          <w:sz w:val="21"/>
          <w:szCs w:val="21"/>
        </w:rPr>
        <w:t>企业制造的货物。本条所称货物不包括使用大型企业注册商标的货物。</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本公司对上述声明的真实性负责。如有虚假，将依法承担相应责任。</w:t>
      </w: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投标人名称（加盖公章）：</w:t>
      </w: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日      期：</w:t>
      </w:r>
    </w:p>
    <w:p>
      <w:pPr>
        <w:rPr>
          <w:rFonts w:ascii="宋体" w:hAnsi="宋体" w:eastAsia="宋体"/>
          <w:color w:val="auto"/>
          <w:sz w:val="21"/>
          <w:szCs w:val="21"/>
        </w:rPr>
      </w:pPr>
      <w:r>
        <w:rPr>
          <w:rFonts w:hint="eastAsia" w:ascii="宋体" w:hAnsi="宋体" w:eastAsia="宋体"/>
          <w:color w:val="auto"/>
          <w:sz w:val="21"/>
          <w:szCs w:val="21"/>
        </w:rPr>
        <w:t>注：</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1、投标人应根据《关于印发中小企业划型标准规定的通知》（工信部联企业[2011]300号）的有关规定如实填写此表。（监狱企业视同小型、微型企业，监狱企业参加政府采购活动时，应当提供由省级以上监狱管理局、戒毒管理局(含新疆生产建设兵团)出具的属于监狱企业的证明文件）</w:t>
      </w:r>
    </w:p>
    <w:p>
      <w:pPr>
        <w:spacing w:after="0" w:line="480" w:lineRule="auto"/>
        <w:ind w:firstLine="422" w:firstLineChars="200"/>
        <w:rPr>
          <w:rFonts w:ascii="宋体" w:hAnsi="宋体" w:eastAsia="宋体"/>
          <w:b/>
          <w:bCs/>
          <w:color w:val="auto"/>
          <w:sz w:val="21"/>
          <w:szCs w:val="21"/>
        </w:rPr>
      </w:pPr>
      <w:r>
        <w:rPr>
          <w:rFonts w:hint="eastAsia" w:ascii="宋体" w:hAnsi="宋体" w:eastAsia="宋体"/>
          <w:b/>
          <w:bCs/>
          <w:color w:val="auto"/>
          <w:sz w:val="21"/>
          <w:szCs w:val="21"/>
        </w:rPr>
        <w:t>2、若投标人不属于规定的中小企业范围，或提供的产品不是中小企业制造的，</w:t>
      </w:r>
      <w:r>
        <w:rPr>
          <w:rFonts w:hint="eastAsia" w:ascii="宋体" w:hAnsi="宋体" w:eastAsia="宋体"/>
          <w:b/>
          <w:bCs/>
          <w:color w:val="auto"/>
          <w:sz w:val="21"/>
          <w:szCs w:val="21"/>
          <w:lang w:eastAsia="zh-CN"/>
        </w:rPr>
        <w:t>则无需提供此表</w:t>
      </w:r>
      <w:r>
        <w:rPr>
          <w:rFonts w:hint="eastAsia" w:ascii="宋体" w:hAnsi="宋体" w:eastAsia="宋体"/>
          <w:b/>
          <w:bCs/>
          <w:color w:val="auto"/>
          <w:sz w:val="21"/>
          <w:szCs w:val="21"/>
        </w:rPr>
        <w:t>。</w:t>
      </w:r>
    </w:p>
    <w:p>
      <w:pPr>
        <w:spacing w:after="0" w:line="480" w:lineRule="auto"/>
        <w:ind w:firstLine="420" w:firstLineChars="200"/>
        <w:rPr>
          <w:rFonts w:ascii="楷体_GB2312" w:eastAsia="楷体_GB2312"/>
          <w:color w:val="auto"/>
          <w:sz w:val="24"/>
        </w:rPr>
      </w:pPr>
      <w:r>
        <w:rPr>
          <w:rFonts w:hint="eastAsia" w:ascii="宋体" w:hAnsi="宋体" w:eastAsia="宋体"/>
          <w:color w:val="auto"/>
          <w:sz w:val="21"/>
          <w:szCs w:val="21"/>
        </w:rPr>
        <w:t>3、投标人应该在《报价明细表》中单独列明属于小型和微型企业产品（货物、承担的工程或者服务）的报价，若投标人只提供《中小企业声明函》但未列明小型或微型企业产品的，在计算价格得分时不予以相应的扣除。</w:t>
      </w:r>
    </w:p>
    <w:p>
      <w:pPr>
        <w:rPr>
          <w:rFonts w:ascii="楷体_GB2312" w:eastAsia="楷体_GB2312"/>
          <w:color w:val="auto"/>
          <w:sz w:val="24"/>
        </w:rPr>
      </w:pPr>
    </w:p>
    <w:p>
      <w:pPr>
        <w:adjustRightInd/>
        <w:snapToGrid/>
        <w:spacing w:line="276" w:lineRule="auto"/>
        <w:rPr>
          <w:rFonts w:ascii="楷体_GB2312" w:eastAsia="楷体_GB2312" w:hAnsiTheme="majorHAnsi" w:cstheme="majorBidi"/>
          <w:b/>
          <w:bCs/>
          <w:color w:val="auto"/>
          <w:sz w:val="24"/>
          <w:szCs w:val="28"/>
        </w:rPr>
      </w:pPr>
      <w:r>
        <w:rPr>
          <w:rFonts w:ascii="楷体_GB2312" w:eastAsia="楷体_GB2312"/>
          <w:color w:val="auto"/>
          <w:sz w:val="24"/>
        </w:rPr>
        <w:br w:type="page"/>
      </w:r>
    </w:p>
    <w:p>
      <w:pPr>
        <w:pStyle w:val="4"/>
        <w:widowControl w:val="0"/>
        <w:overflowPunct w:val="0"/>
        <w:spacing w:before="0" w:after="0" w:line="240" w:lineRule="auto"/>
        <w:rPr>
          <w:rFonts w:ascii="楷体_GB2312" w:eastAsia="楷体_GB2312"/>
          <w:color w:val="auto"/>
          <w:sz w:val="24"/>
        </w:rPr>
      </w:pPr>
      <w:bookmarkStart w:id="158" w:name="_Toc28081"/>
      <w:r>
        <w:rPr>
          <w:rFonts w:hint="eastAsia" w:ascii="宋体" w:hAnsi="宋体" w:eastAsia="宋体"/>
          <w:color w:val="auto"/>
          <w:sz w:val="21"/>
          <w:szCs w:val="21"/>
        </w:rPr>
        <w:t>附件19.《残疾人福利性单位声明函》（残疾人福利性单位适用）</w:t>
      </w:r>
      <w:bookmarkEnd w:id="158"/>
    </w:p>
    <w:p>
      <w:pPr>
        <w:jc w:val="center"/>
        <w:rPr>
          <w:color w:val="auto"/>
        </w:rPr>
      </w:pPr>
    </w:p>
    <w:p>
      <w:pPr>
        <w:jc w:val="center"/>
        <w:rPr>
          <w:rFonts w:ascii="黑体" w:eastAsia="黑体"/>
          <w:color w:val="auto"/>
          <w:sz w:val="28"/>
          <w:szCs w:val="28"/>
        </w:rPr>
      </w:pPr>
      <w:r>
        <w:rPr>
          <w:rFonts w:hint="eastAsia" w:ascii="黑体" w:eastAsia="黑体"/>
          <w:color w:val="auto"/>
          <w:sz w:val="28"/>
          <w:szCs w:val="28"/>
        </w:rPr>
        <w:t>残疾人福利性单位声明函</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本单位对上述声明的真实性负责。如有虚假，将依法承担相应责任。</w:t>
      </w:r>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单位名称（盖章）：</w:t>
      </w:r>
      <w:bookmarkStart w:id="159" w:name="_Toc22970"/>
      <w:bookmarkStart w:id="160" w:name="_Toc30277"/>
      <w:bookmarkStart w:id="161" w:name="_Toc510171693"/>
      <w:bookmarkStart w:id="162" w:name="_Toc509844825"/>
      <w:bookmarkStart w:id="163" w:name="_Toc508960153"/>
      <w:bookmarkStart w:id="164" w:name="_Toc508958703"/>
      <w:bookmarkStart w:id="165" w:name="_Toc20910"/>
      <w:bookmarkStart w:id="166" w:name="_Toc509479530"/>
      <w:bookmarkStart w:id="167" w:name="_Toc509927455"/>
      <w:bookmarkStart w:id="168" w:name="_Toc30247"/>
      <w:bookmarkStart w:id="169" w:name="_Toc17761"/>
      <w:bookmarkStart w:id="170" w:name="_Toc508898066"/>
    </w:p>
    <w:p>
      <w:pPr>
        <w:spacing w:after="0" w:line="480" w:lineRule="auto"/>
        <w:jc w:val="right"/>
        <w:rPr>
          <w:rFonts w:ascii="宋体" w:hAnsi="宋体" w:eastAsia="宋体"/>
          <w:color w:val="auto"/>
          <w:sz w:val="21"/>
          <w:szCs w:val="21"/>
        </w:rPr>
      </w:pPr>
    </w:p>
    <w:p>
      <w:pPr>
        <w:spacing w:after="0" w:line="480" w:lineRule="auto"/>
        <w:jc w:val="right"/>
        <w:rPr>
          <w:rFonts w:ascii="宋体" w:hAnsi="宋体" w:eastAsia="宋体"/>
          <w:color w:val="auto"/>
          <w:sz w:val="21"/>
          <w:szCs w:val="21"/>
        </w:rPr>
      </w:pPr>
      <w:r>
        <w:rPr>
          <w:rFonts w:hint="eastAsia" w:ascii="宋体" w:hAnsi="宋体" w:eastAsia="宋体"/>
          <w:color w:val="auto"/>
          <w:sz w:val="21"/>
          <w:szCs w:val="21"/>
        </w:rPr>
        <w:t>日  期：</w:t>
      </w:r>
      <w:bookmarkEnd w:id="159"/>
      <w:bookmarkEnd w:id="160"/>
      <w:bookmarkEnd w:id="161"/>
      <w:bookmarkEnd w:id="162"/>
      <w:bookmarkEnd w:id="163"/>
      <w:bookmarkEnd w:id="164"/>
      <w:bookmarkEnd w:id="165"/>
      <w:bookmarkEnd w:id="166"/>
      <w:bookmarkEnd w:id="167"/>
      <w:bookmarkEnd w:id="168"/>
      <w:bookmarkEnd w:id="169"/>
      <w:bookmarkEnd w:id="170"/>
    </w:p>
    <w:p>
      <w:pPr>
        <w:pStyle w:val="6"/>
        <w:rPr>
          <w:color w:val="auto"/>
        </w:rPr>
      </w:pPr>
    </w:p>
    <w:p>
      <w:pPr>
        <w:spacing w:after="0" w:line="480" w:lineRule="auto"/>
        <w:ind w:firstLine="420" w:firstLineChars="200"/>
        <w:rPr>
          <w:rFonts w:ascii="宋体" w:hAnsi="宋体" w:eastAsia="宋体"/>
          <w:color w:val="auto"/>
          <w:sz w:val="21"/>
          <w:szCs w:val="21"/>
        </w:rPr>
      </w:pPr>
      <w:bookmarkStart w:id="171" w:name="_Toc510171694"/>
      <w:bookmarkStart w:id="172" w:name="_Toc509927456"/>
      <w:bookmarkStart w:id="173" w:name="_Toc21053"/>
      <w:bookmarkStart w:id="174" w:name="_Toc509844826"/>
      <w:bookmarkStart w:id="175" w:name="_Toc28527"/>
      <w:bookmarkStart w:id="176" w:name="_Toc508958704"/>
      <w:bookmarkStart w:id="177" w:name="_Toc26216"/>
      <w:bookmarkStart w:id="178" w:name="_Toc509479531"/>
      <w:bookmarkStart w:id="179" w:name="_Toc508960154"/>
      <w:bookmarkStart w:id="180" w:name="_Toc31520"/>
      <w:bookmarkStart w:id="181" w:name="_Toc508898067"/>
      <w:bookmarkStart w:id="182" w:name="_Toc5447"/>
      <w:r>
        <w:rPr>
          <w:rFonts w:hint="eastAsia" w:ascii="宋体" w:hAnsi="宋体" w:eastAsia="宋体"/>
          <w:color w:val="auto"/>
          <w:sz w:val="21"/>
          <w:szCs w:val="21"/>
        </w:rPr>
        <w:t>注：（1）符合《财政部 民政部 中国残疾人联合会关于促进残疾人就业政府采购政策的通知》（财库〔2017〕 141号）规定条件的残疾人福利性单位应当提供《残疾人福利性单位声明函》。</w:t>
      </w:r>
      <w:bookmarkEnd w:id="171"/>
      <w:bookmarkEnd w:id="172"/>
      <w:bookmarkEnd w:id="173"/>
      <w:bookmarkEnd w:id="174"/>
      <w:bookmarkEnd w:id="175"/>
      <w:bookmarkEnd w:id="176"/>
      <w:bookmarkEnd w:id="177"/>
      <w:bookmarkEnd w:id="178"/>
      <w:bookmarkEnd w:id="179"/>
      <w:bookmarkEnd w:id="180"/>
      <w:bookmarkEnd w:id="181"/>
      <w:bookmarkEnd w:id="182"/>
    </w:p>
    <w:p>
      <w:pPr>
        <w:spacing w:after="0" w:line="480" w:lineRule="auto"/>
        <w:ind w:firstLine="420" w:firstLineChars="200"/>
        <w:rPr>
          <w:rFonts w:ascii="宋体" w:hAnsi="宋体" w:eastAsia="宋体"/>
          <w:color w:val="auto"/>
          <w:sz w:val="21"/>
          <w:szCs w:val="21"/>
        </w:rPr>
      </w:pPr>
      <w:bookmarkStart w:id="183" w:name="_Toc28126"/>
      <w:bookmarkStart w:id="184" w:name="_Toc510171695"/>
      <w:bookmarkStart w:id="185" w:name="_Toc509844827"/>
      <w:bookmarkStart w:id="186" w:name="_Toc509927457"/>
      <w:bookmarkStart w:id="187" w:name="_Toc508960155"/>
      <w:bookmarkStart w:id="188" w:name="_Toc14653"/>
      <w:bookmarkStart w:id="189" w:name="_Toc508898068"/>
      <w:bookmarkStart w:id="190" w:name="_Toc509479532"/>
      <w:bookmarkStart w:id="191" w:name="_Toc9148"/>
      <w:bookmarkStart w:id="192" w:name="_Toc28626"/>
      <w:bookmarkStart w:id="193" w:name="_Toc24848"/>
      <w:bookmarkStart w:id="194" w:name="_Toc508958705"/>
      <w:r>
        <w:rPr>
          <w:rFonts w:hint="eastAsia" w:ascii="宋体" w:hAnsi="宋体" w:eastAsia="宋体"/>
          <w:color w:val="auto"/>
          <w:sz w:val="21"/>
          <w:szCs w:val="21"/>
        </w:rPr>
        <w:t>（2）中标人为残疾人福利性单位的，采购代理机构将随中标结果同时公告其《残疾人福利性单位声明函》，接受社会监督。</w:t>
      </w:r>
      <w:bookmarkEnd w:id="183"/>
      <w:bookmarkEnd w:id="184"/>
      <w:bookmarkEnd w:id="185"/>
      <w:bookmarkEnd w:id="186"/>
      <w:bookmarkEnd w:id="187"/>
      <w:bookmarkEnd w:id="188"/>
      <w:bookmarkEnd w:id="189"/>
      <w:bookmarkEnd w:id="190"/>
      <w:bookmarkEnd w:id="191"/>
      <w:bookmarkEnd w:id="192"/>
      <w:bookmarkEnd w:id="193"/>
      <w:bookmarkEnd w:id="194"/>
    </w:p>
    <w:p>
      <w:pPr>
        <w:spacing w:after="0" w:line="480" w:lineRule="auto"/>
        <w:ind w:firstLine="420" w:firstLineChars="200"/>
        <w:rPr>
          <w:rFonts w:ascii="宋体" w:hAnsi="宋体" w:eastAsia="宋体"/>
          <w:color w:val="auto"/>
          <w:sz w:val="21"/>
          <w:szCs w:val="21"/>
        </w:rPr>
      </w:pPr>
      <w:bookmarkStart w:id="195" w:name="_Toc510171696"/>
      <w:bookmarkStart w:id="196" w:name="_Toc28044"/>
      <w:bookmarkStart w:id="197" w:name="_Toc508960156"/>
      <w:bookmarkStart w:id="198" w:name="_Toc508898069"/>
      <w:bookmarkStart w:id="199" w:name="_Toc22981"/>
      <w:bookmarkStart w:id="200" w:name="_Toc9837"/>
      <w:bookmarkStart w:id="201" w:name="_Toc509479533"/>
      <w:bookmarkStart w:id="202" w:name="_Toc509844828"/>
      <w:bookmarkStart w:id="203" w:name="_Toc7858"/>
      <w:bookmarkStart w:id="204" w:name="_Toc509927458"/>
      <w:bookmarkStart w:id="205" w:name="_Toc28686"/>
      <w:bookmarkStart w:id="206" w:name="_Toc508958706"/>
      <w:r>
        <w:rPr>
          <w:rFonts w:hint="eastAsia" w:ascii="宋体" w:hAnsi="宋体" w:eastAsia="宋体"/>
          <w:color w:val="auto"/>
          <w:sz w:val="21"/>
          <w:szCs w:val="21"/>
        </w:rPr>
        <w:t>（3）投标人提供的《残疾人福利性单位声明函》与事实不符的，依照《政府采购法》第七十七条第一款的规定追究法律责任。</w:t>
      </w:r>
      <w:bookmarkEnd w:id="195"/>
      <w:bookmarkEnd w:id="196"/>
      <w:bookmarkEnd w:id="197"/>
      <w:bookmarkEnd w:id="198"/>
      <w:bookmarkEnd w:id="199"/>
      <w:bookmarkEnd w:id="200"/>
      <w:bookmarkEnd w:id="201"/>
      <w:bookmarkEnd w:id="202"/>
      <w:bookmarkEnd w:id="203"/>
      <w:bookmarkEnd w:id="204"/>
      <w:bookmarkEnd w:id="205"/>
      <w:bookmarkEnd w:id="206"/>
    </w:p>
    <w:p>
      <w:pPr>
        <w:spacing w:after="0" w:line="480" w:lineRule="auto"/>
        <w:ind w:firstLine="420" w:firstLineChars="200"/>
        <w:rPr>
          <w:rFonts w:hint="eastAsia" w:ascii="宋体" w:hAnsi="宋体" w:eastAsia="宋体"/>
          <w:color w:val="auto"/>
          <w:sz w:val="21"/>
          <w:szCs w:val="21"/>
        </w:rPr>
      </w:pPr>
      <w:bookmarkStart w:id="207" w:name="_Toc5289"/>
      <w:bookmarkStart w:id="208" w:name="_Toc509479534"/>
      <w:bookmarkStart w:id="209" w:name="_Toc508958707"/>
      <w:bookmarkStart w:id="210" w:name="_Toc509927459"/>
      <w:bookmarkStart w:id="211" w:name="_Toc510171697"/>
      <w:bookmarkStart w:id="212" w:name="_Toc508898070"/>
      <w:bookmarkStart w:id="213" w:name="_Toc508960157"/>
      <w:bookmarkStart w:id="214" w:name="_Toc18843"/>
      <w:bookmarkStart w:id="215" w:name="_Toc509844829"/>
      <w:r>
        <w:rPr>
          <w:rFonts w:hint="eastAsia" w:ascii="宋体" w:hAnsi="宋体" w:eastAsia="宋体"/>
          <w:color w:val="auto"/>
          <w:sz w:val="21"/>
          <w:szCs w:val="21"/>
        </w:rPr>
        <w:t>（4）残疾人福利性单位视同小型、微型企业，享受评审中价格扣除。残疾人福利性单位属于小型、微型企业的，不重复享受政策。</w:t>
      </w:r>
      <w:bookmarkEnd w:id="207"/>
      <w:bookmarkEnd w:id="208"/>
      <w:bookmarkEnd w:id="209"/>
      <w:bookmarkEnd w:id="210"/>
      <w:bookmarkEnd w:id="211"/>
      <w:bookmarkEnd w:id="212"/>
      <w:bookmarkEnd w:id="213"/>
      <w:bookmarkEnd w:id="214"/>
      <w:bookmarkEnd w:id="215"/>
    </w:p>
    <w:p>
      <w:pPr>
        <w:spacing w:after="0" w:line="480" w:lineRule="auto"/>
        <w:ind w:firstLine="422" w:firstLineChars="200"/>
        <w:rPr>
          <w:rFonts w:hint="eastAsia" w:ascii="宋体" w:hAnsi="宋体" w:eastAsia="宋体"/>
          <w:b/>
          <w:bCs/>
          <w:color w:val="auto"/>
          <w:sz w:val="21"/>
          <w:szCs w:val="21"/>
          <w:lang w:eastAsia="zh-CN"/>
        </w:rPr>
      </w:pPr>
      <w:r>
        <w:rPr>
          <w:rFonts w:hint="eastAsia" w:ascii="宋体" w:hAnsi="宋体" w:eastAsia="宋体"/>
          <w:b/>
          <w:bCs/>
          <w:color w:val="auto"/>
          <w:sz w:val="21"/>
          <w:szCs w:val="21"/>
          <w:lang w:eastAsia="zh-CN"/>
        </w:rPr>
        <w:t>（</w:t>
      </w:r>
      <w:r>
        <w:rPr>
          <w:rFonts w:hint="eastAsia" w:ascii="宋体" w:hAnsi="宋体" w:eastAsia="宋体"/>
          <w:b/>
          <w:bCs/>
          <w:color w:val="auto"/>
          <w:sz w:val="21"/>
          <w:szCs w:val="21"/>
          <w:lang w:val="en-US" w:eastAsia="zh-CN"/>
        </w:rPr>
        <w:t>5</w:t>
      </w:r>
      <w:r>
        <w:rPr>
          <w:rFonts w:hint="eastAsia" w:ascii="宋体" w:hAnsi="宋体" w:eastAsia="宋体"/>
          <w:b/>
          <w:bCs/>
          <w:color w:val="auto"/>
          <w:sz w:val="21"/>
          <w:szCs w:val="21"/>
          <w:lang w:eastAsia="zh-CN"/>
        </w:rPr>
        <w:t>）</w:t>
      </w:r>
      <w:r>
        <w:rPr>
          <w:rFonts w:hint="eastAsia" w:ascii="宋体" w:hAnsi="宋体" w:eastAsia="宋体"/>
          <w:b/>
          <w:bCs/>
          <w:color w:val="auto"/>
          <w:sz w:val="21"/>
          <w:szCs w:val="21"/>
        </w:rPr>
        <w:t>若投标人不属于规定的残疾人福利性单位，或提供的产品不是</w:t>
      </w:r>
      <w:r>
        <w:rPr>
          <w:rFonts w:hint="eastAsia" w:ascii="宋体" w:hAnsi="宋体" w:eastAsia="宋体"/>
          <w:b/>
          <w:bCs/>
          <w:color w:val="auto"/>
          <w:sz w:val="21"/>
          <w:szCs w:val="21"/>
          <w:lang w:eastAsia="zh-CN"/>
        </w:rPr>
        <w:t>残疾人福利单位</w:t>
      </w:r>
      <w:r>
        <w:rPr>
          <w:rFonts w:hint="eastAsia" w:ascii="宋体" w:hAnsi="宋体" w:eastAsia="宋体"/>
          <w:b/>
          <w:bCs/>
          <w:color w:val="auto"/>
          <w:sz w:val="21"/>
          <w:szCs w:val="21"/>
        </w:rPr>
        <w:t>制造的，</w:t>
      </w:r>
      <w:r>
        <w:rPr>
          <w:rFonts w:hint="eastAsia" w:ascii="宋体" w:hAnsi="宋体" w:eastAsia="宋体"/>
          <w:b/>
          <w:bCs/>
          <w:color w:val="auto"/>
          <w:sz w:val="21"/>
          <w:szCs w:val="21"/>
          <w:lang w:eastAsia="zh-CN"/>
        </w:rPr>
        <w:t>则无需提供此表</w:t>
      </w:r>
      <w:r>
        <w:rPr>
          <w:rFonts w:hint="eastAsia" w:ascii="宋体" w:hAnsi="宋体" w:eastAsia="宋体"/>
          <w:b/>
          <w:bCs/>
          <w:color w:val="auto"/>
          <w:sz w:val="21"/>
          <w:szCs w:val="21"/>
        </w:rPr>
        <w:t>。</w:t>
      </w:r>
    </w:p>
    <w:p>
      <w:pPr>
        <w:adjustRightInd/>
        <w:snapToGrid/>
        <w:spacing w:line="276" w:lineRule="auto"/>
        <w:rPr>
          <w:rFonts w:ascii="宋体" w:hAnsi="宋体" w:eastAsia="宋体"/>
          <w:bCs/>
          <w:color w:val="auto"/>
          <w:sz w:val="21"/>
          <w:szCs w:val="21"/>
        </w:rPr>
      </w:pPr>
      <w:r>
        <w:rPr>
          <w:rFonts w:hint="eastAsia" w:ascii="宋体" w:hAnsi="宋体" w:eastAsia="宋体"/>
          <w:bCs/>
          <w:color w:val="auto"/>
          <w:sz w:val="21"/>
          <w:szCs w:val="21"/>
        </w:rPr>
        <w:br w:type="page"/>
      </w:r>
    </w:p>
    <w:p>
      <w:pPr>
        <w:pStyle w:val="4"/>
        <w:widowControl w:val="0"/>
        <w:overflowPunct w:val="0"/>
        <w:spacing w:before="0" w:after="0" w:line="240" w:lineRule="auto"/>
        <w:rPr>
          <w:color w:val="auto"/>
        </w:rPr>
      </w:pPr>
      <w:bookmarkStart w:id="216" w:name="_Toc25634"/>
      <w:r>
        <w:rPr>
          <w:rFonts w:hint="eastAsia" w:ascii="宋体" w:hAnsi="宋体" w:eastAsia="宋体"/>
          <w:color w:val="auto"/>
          <w:sz w:val="21"/>
          <w:szCs w:val="21"/>
        </w:rPr>
        <w:t>附件20. 投标保证金汇入情况说明格式</w:t>
      </w:r>
      <w:bookmarkEnd w:id="216"/>
    </w:p>
    <w:p>
      <w:pPr>
        <w:rPr>
          <w:color w:val="auto"/>
        </w:rPr>
      </w:pPr>
    </w:p>
    <w:p>
      <w:pPr>
        <w:jc w:val="center"/>
        <w:rPr>
          <w:rFonts w:ascii="黑体" w:eastAsia="黑体"/>
          <w:color w:val="auto"/>
          <w:sz w:val="28"/>
          <w:szCs w:val="28"/>
        </w:rPr>
      </w:pPr>
      <w:r>
        <w:rPr>
          <w:rFonts w:hint="eastAsia" w:ascii="黑体" w:eastAsia="黑体"/>
          <w:color w:val="auto"/>
          <w:sz w:val="28"/>
          <w:szCs w:val="28"/>
        </w:rPr>
        <w:t>投标保证金汇入情况说明</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致：三方诚信招标有限公司东莞分公司：</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本单位已按</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项目</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包（采购项目编号：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）的招标文件要求，于</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日前以</w:t>
      </w:r>
      <w:r>
        <w:rPr>
          <w:rFonts w:hint="eastAsia" w:ascii="宋体" w:hAnsi="宋体" w:eastAsia="宋体"/>
          <w:color w:val="auto"/>
          <w:sz w:val="21"/>
          <w:szCs w:val="21"/>
          <w:u w:val="single"/>
        </w:rPr>
        <w:t xml:space="preserve">           （付款形式）</w:t>
      </w:r>
      <w:r>
        <w:rPr>
          <w:rFonts w:hint="eastAsia" w:ascii="宋体" w:hAnsi="宋体" w:eastAsia="宋体"/>
          <w:color w:val="auto"/>
          <w:sz w:val="21"/>
          <w:szCs w:val="21"/>
        </w:rPr>
        <w:t>方式汇入指定帐户（帐户名称：</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，帐号：</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,开户银行：</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本单位投标保证金的汇款情况：（详见附件－投标保证金进帐单）</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汇出时间：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月</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日；</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汇款金额：（大写）人民币</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元（小写：￥</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元），</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汇款帐户名称：</w:t>
      </w:r>
      <w:r>
        <w:rPr>
          <w:rFonts w:hint="eastAsia" w:ascii="宋体" w:hAnsi="宋体" w:eastAsia="宋体"/>
          <w:color w:val="auto"/>
          <w:sz w:val="21"/>
          <w:szCs w:val="21"/>
          <w:u w:val="single"/>
        </w:rPr>
        <w:t xml:space="preserve">  （必须是投标时使用的帐户名）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帐        号：</w:t>
      </w:r>
      <w:r>
        <w:rPr>
          <w:rFonts w:hint="eastAsia" w:ascii="宋体" w:hAnsi="宋体" w:eastAsia="宋体"/>
          <w:color w:val="auto"/>
          <w:sz w:val="21"/>
          <w:szCs w:val="21"/>
          <w:u w:val="single"/>
        </w:rPr>
        <w:t xml:space="preserve">  （必须是投标时使用的帐号）     </w:t>
      </w:r>
    </w:p>
    <w:p>
      <w:pPr>
        <w:spacing w:after="0" w:line="480" w:lineRule="auto"/>
        <w:ind w:firstLine="420" w:firstLineChars="200"/>
        <w:rPr>
          <w:rFonts w:ascii="宋体" w:hAnsi="宋体" w:eastAsia="宋体"/>
          <w:color w:val="auto"/>
          <w:sz w:val="21"/>
          <w:szCs w:val="21"/>
          <w:u w:val="single"/>
        </w:rPr>
      </w:pPr>
      <w:r>
        <w:rPr>
          <w:rFonts w:hint="eastAsia" w:ascii="宋体" w:hAnsi="宋体" w:eastAsia="宋体"/>
          <w:color w:val="auto"/>
          <w:sz w:val="21"/>
          <w:szCs w:val="21"/>
        </w:rPr>
        <w:t>开 户  银 行：</w:t>
      </w:r>
      <w:r>
        <w:rPr>
          <w:rFonts w:hint="eastAsia" w:ascii="宋体" w:hAnsi="宋体" w:eastAsia="宋体"/>
          <w:color w:val="auto"/>
          <w:sz w:val="21"/>
          <w:szCs w:val="21"/>
          <w:u w:val="single"/>
        </w:rPr>
        <w:t xml:space="preserve">  （      银行   分行  支行    ）</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本单位谨承诺上述资料是正确、真实的，如因上述证明与事实不符导致的一切损失，本单位保证承担赔偿等一切法律责任。</w:t>
      </w:r>
    </w:p>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投标保证金退回时，请按上述资料退回。</w:t>
      </w:r>
    </w:p>
    <w:p>
      <w:pPr>
        <w:spacing w:after="0" w:line="480" w:lineRule="auto"/>
        <w:ind w:right="884" w:rightChars="402"/>
        <w:jc w:val="right"/>
        <w:rPr>
          <w:rFonts w:ascii="宋体" w:hAnsi="宋体" w:eastAsia="宋体"/>
          <w:color w:val="auto"/>
          <w:sz w:val="21"/>
          <w:szCs w:val="21"/>
        </w:rPr>
      </w:pPr>
      <w:r>
        <w:rPr>
          <w:rFonts w:hint="eastAsia" w:ascii="宋体" w:hAnsi="宋体" w:eastAsia="宋体"/>
          <w:color w:val="auto"/>
          <w:sz w:val="21"/>
          <w:szCs w:val="21"/>
        </w:rPr>
        <w:t>（单位公章）</w:t>
      </w:r>
    </w:p>
    <w:p>
      <w:pPr>
        <w:spacing w:after="0" w:line="480" w:lineRule="auto"/>
        <w:ind w:right="658" w:rightChars="299"/>
        <w:jc w:val="right"/>
        <w:rPr>
          <w:rFonts w:ascii="宋体" w:hAnsi="宋体" w:eastAsia="宋体"/>
          <w:color w:val="auto"/>
          <w:sz w:val="21"/>
          <w:szCs w:val="21"/>
        </w:rPr>
      </w:pPr>
      <w:r>
        <w:rPr>
          <w:rFonts w:hint="eastAsia" w:ascii="宋体" w:hAnsi="宋体" w:eastAsia="宋体"/>
          <w:color w:val="auto"/>
          <w:sz w:val="21"/>
          <w:szCs w:val="21"/>
        </w:rPr>
        <w:t>年 月 日</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单位名称：</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单位地址：</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联系人：</w:t>
      </w:r>
      <w:r>
        <w:rPr>
          <w:rFonts w:hint="eastAsia" w:ascii="宋体" w:hAnsi="宋体" w:eastAsia="宋体"/>
          <w:color w:val="auto"/>
          <w:sz w:val="21"/>
          <w:szCs w:val="21"/>
          <w:u w:val="single"/>
        </w:rPr>
        <w:t xml:space="preserve">                   </w:t>
      </w:r>
    </w:p>
    <w:p>
      <w:pPr>
        <w:spacing w:after="0" w:line="480" w:lineRule="auto"/>
        <w:rPr>
          <w:rFonts w:ascii="宋体" w:hAnsi="宋体" w:eastAsia="宋体"/>
          <w:color w:val="auto"/>
          <w:sz w:val="21"/>
          <w:szCs w:val="21"/>
        </w:rPr>
      </w:pPr>
      <w:r>
        <w:rPr>
          <w:rFonts w:hint="eastAsia" w:ascii="宋体" w:hAnsi="宋体" w:eastAsia="宋体"/>
          <w:color w:val="auto"/>
          <w:sz w:val="21"/>
          <w:szCs w:val="21"/>
        </w:rPr>
        <w:t>单位电话：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联系人手机：</w:t>
      </w:r>
      <w:r>
        <w:rPr>
          <w:rFonts w:hint="eastAsia" w:ascii="宋体" w:hAnsi="宋体" w:eastAsia="宋体"/>
          <w:color w:val="auto"/>
          <w:sz w:val="21"/>
          <w:szCs w:val="21"/>
          <w:u w:val="single"/>
        </w:rPr>
        <w:t xml:space="preserve">              </w:t>
      </w:r>
    </w:p>
    <w:p>
      <w:pPr>
        <w:spacing w:after="0"/>
        <w:rPr>
          <w:rFonts w:ascii="宋体" w:hAnsi="宋体" w:eastAsia="宋体"/>
          <w:color w:val="auto"/>
          <w:sz w:val="21"/>
          <w:szCs w:val="21"/>
        </w:rPr>
      </w:pP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br w:type="page"/>
      </w:r>
    </w:p>
    <w:p>
      <w:pPr>
        <w:spacing w:after="0" w:line="380" w:lineRule="exact"/>
        <w:ind w:firstLine="420" w:firstLineChars="200"/>
        <w:rPr>
          <w:rFonts w:ascii="宋体" w:hAnsi="宋体" w:eastAsia="宋体"/>
          <w:color w:val="auto"/>
          <w:sz w:val="21"/>
          <w:szCs w:val="21"/>
        </w:rPr>
      </w:pPr>
      <w:r>
        <w:rPr>
          <w:rFonts w:hint="eastAsia" w:ascii="宋体" w:hAnsi="宋体" w:eastAsia="宋体"/>
          <w:color w:val="auto"/>
          <w:sz w:val="21"/>
          <w:szCs w:val="21"/>
        </w:rPr>
        <w:t>附：我方投标保证金汇款凭证</w:t>
      </w:r>
    </w:p>
    <w:tbl>
      <w:tblPr>
        <w:tblStyle w:val="16"/>
        <w:tblW w:w="89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9" w:hRule="atLeast"/>
        </w:trPr>
        <w:tc>
          <w:tcPr>
            <w:tcW w:w="8953" w:type="dxa"/>
            <w:vAlign w:val="center"/>
          </w:tcPr>
          <w:p>
            <w:pPr>
              <w:tabs>
                <w:tab w:val="left" w:pos="3885"/>
              </w:tabs>
              <w:spacing w:line="360" w:lineRule="auto"/>
              <w:jc w:val="center"/>
              <w:rPr>
                <w:rFonts w:ascii="宋体" w:hAnsi="宋体" w:eastAsia="宋体"/>
                <w:color w:val="auto"/>
                <w:sz w:val="21"/>
                <w:szCs w:val="21"/>
              </w:rPr>
            </w:pPr>
            <w:r>
              <w:rPr>
                <w:rFonts w:hint="eastAsia" w:ascii="宋体" w:hAnsi="宋体" w:eastAsia="宋体"/>
                <w:color w:val="auto"/>
                <w:sz w:val="21"/>
                <w:szCs w:val="21"/>
              </w:rPr>
              <w:t>（粘贴汇款单或转账</w:t>
            </w:r>
            <w:r>
              <w:rPr>
                <w:rFonts w:ascii="宋体" w:hAnsi="宋体" w:eastAsia="宋体"/>
                <w:color w:val="auto"/>
                <w:sz w:val="21"/>
                <w:szCs w:val="21"/>
              </w:rPr>
              <w:t>凭证</w:t>
            </w:r>
            <w:r>
              <w:rPr>
                <w:rFonts w:hint="eastAsia" w:ascii="宋体" w:hAnsi="宋体" w:eastAsia="宋体"/>
                <w:color w:val="auto"/>
                <w:sz w:val="21"/>
                <w:szCs w:val="21"/>
              </w:rPr>
              <w:t>复印件，并在骑缝上加盖投标人公章，或是直接把转账</w:t>
            </w:r>
            <w:r>
              <w:rPr>
                <w:rFonts w:ascii="宋体" w:hAnsi="宋体" w:eastAsia="宋体"/>
                <w:color w:val="auto"/>
                <w:sz w:val="21"/>
                <w:szCs w:val="21"/>
              </w:rPr>
              <w:t>凭证</w:t>
            </w:r>
            <w:r>
              <w:rPr>
                <w:rFonts w:hint="eastAsia" w:ascii="宋体" w:hAnsi="宋体" w:eastAsia="宋体"/>
                <w:color w:val="auto"/>
                <w:sz w:val="21"/>
                <w:szCs w:val="21"/>
              </w:rPr>
              <w:t>复印到此张纸上）</w:t>
            </w:r>
          </w:p>
        </w:tc>
      </w:tr>
    </w:tbl>
    <w:p>
      <w:pPr>
        <w:spacing w:after="0" w:line="480" w:lineRule="auto"/>
        <w:ind w:firstLine="420" w:firstLineChars="200"/>
        <w:rPr>
          <w:rFonts w:ascii="宋体" w:hAnsi="宋体" w:eastAsia="宋体"/>
          <w:color w:val="auto"/>
          <w:sz w:val="21"/>
          <w:szCs w:val="21"/>
        </w:rPr>
      </w:pPr>
      <w:r>
        <w:rPr>
          <w:rFonts w:hint="eastAsia" w:ascii="宋体" w:hAnsi="宋体" w:eastAsia="宋体"/>
          <w:color w:val="auto"/>
          <w:sz w:val="21"/>
          <w:szCs w:val="21"/>
        </w:rPr>
        <w:t>注：此表既要装订在投标文件中，又要按投标人须知的规定与开标一览表、投标保证金汇款底单复印件及授权委托书一同密封装入开标文件，开标文件单独提交。</w:t>
      </w:r>
    </w:p>
    <w:p>
      <w:pPr>
        <w:rPr>
          <w:rFonts w:ascii="宋体" w:hAnsi="宋体" w:eastAsia="宋体"/>
          <w:color w:val="auto"/>
          <w:sz w:val="21"/>
          <w:szCs w:val="21"/>
        </w:rPr>
      </w:pPr>
    </w:p>
    <w:p>
      <w:pPr>
        <w:rPr>
          <w:rFonts w:ascii="宋体" w:hAnsi="宋体" w:eastAsia="宋体"/>
          <w:color w:val="auto"/>
          <w:sz w:val="21"/>
          <w:szCs w:val="21"/>
        </w:rPr>
      </w:pPr>
      <w:r>
        <w:rPr>
          <w:rFonts w:hint="eastAsia" w:ascii="宋体" w:hAnsi="宋体" w:eastAsia="宋体"/>
          <w:color w:val="auto"/>
          <w:sz w:val="21"/>
          <w:szCs w:val="21"/>
        </w:rPr>
        <w:br w:type="page"/>
      </w:r>
    </w:p>
    <w:p>
      <w:pPr>
        <w:pStyle w:val="4"/>
        <w:widowControl w:val="0"/>
        <w:overflowPunct w:val="0"/>
        <w:spacing w:before="0" w:after="0" w:line="240" w:lineRule="auto"/>
        <w:rPr>
          <w:rFonts w:ascii="宋体" w:hAnsi="宋体" w:eastAsia="宋体"/>
          <w:color w:val="auto"/>
          <w:sz w:val="21"/>
          <w:szCs w:val="21"/>
        </w:rPr>
      </w:pPr>
      <w:bookmarkStart w:id="217" w:name="_Toc4363"/>
      <w:r>
        <w:rPr>
          <w:rFonts w:hint="eastAsia" w:ascii="宋体" w:hAnsi="宋体" w:eastAsia="宋体"/>
          <w:color w:val="auto"/>
          <w:sz w:val="21"/>
          <w:szCs w:val="21"/>
        </w:rPr>
        <w:t>附件21.政府采购投标担保函</w:t>
      </w:r>
      <w:bookmarkEnd w:id="217"/>
      <w:r>
        <w:rPr>
          <w:rFonts w:hint="eastAsia" w:ascii="宋体" w:hAnsi="宋体" w:eastAsia="宋体"/>
          <w:color w:val="auto"/>
          <w:sz w:val="21"/>
          <w:szCs w:val="21"/>
        </w:rPr>
        <w:t xml:space="preserve"> </w:t>
      </w:r>
    </w:p>
    <w:p>
      <w:pPr>
        <w:jc w:val="center"/>
        <w:rPr>
          <w:rFonts w:ascii="黑体" w:eastAsia="黑体"/>
          <w:color w:val="auto"/>
          <w:sz w:val="28"/>
          <w:szCs w:val="28"/>
        </w:rPr>
      </w:pPr>
    </w:p>
    <w:p>
      <w:pPr>
        <w:jc w:val="center"/>
        <w:rPr>
          <w:rFonts w:ascii="黑体" w:eastAsia="黑体"/>
          <w:color w:val="auto"/>
          <w:sz w:val="28"/>
          <w:szCs w:val="28"/>
        </w:rPr>
      </w:pPr>
      <w:r>
        <w:rPr>
          <w:rFonts w:hint="eastAsia" w:ascii="黑体" w:eastAsia="黑体"/>
          <w:color w:val="auto"/>
          <w:sz w:val="28"/>
          <w:szCs w:val="28"/>
        </w:rPr>
        <w:t>政府采购投标担保函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 编号：</w:t>
      </w:r>
      <w:r>
        <w:rPr>
          <w:rFonts w:hint="eastAsia" w:ascii="仿宋_GB2312" w:eastAsia="仿宋_GB2312"/>
          <w:color w:val="auto"/>
          <w:sz w:val="32"/>
          <w:szCs w:val="32"/>
        </w:rPr>
        <w:t xml:space="preserve">      </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（采购人或采购代理机构）：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鉴于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（以下简称“投标人”）拟参加编号为</w:t>
      </w:r>
      <w:r>
        <w:rPr>
          <w:rFonts w:hint="eastAsia" w:ascii="宋体" w:hAnsi="宋体" w:eastAsia="宋体" w:cs="宋体"/>
          <w:color w:val="auto"/>
          <w:sz w:val="21"/>
          <w:szCs w:val="21"/>
          <w:u w:val="single"/>
        </w:rPr>
        <w:t xml:space="preserve">            的</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一、保证责任的情形及保证金额</w:t>
      </w:r>
    </w:p>
    <w:p>
      <w:pPr>
        <w:spacing w:after="0" w:line="480" w:lineRule="auto"/>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（一）在投标人出现下列情形之一时，我方承担保证责任：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1．中标后投标人无正当理由不与采购人或者采购代理机构签订《政府采购合同》；</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2．招标文件规定的投标人应当缴纳保证金的其他情形。</w:t>
      </w:r>
    </w:p>
    <w:p>
      <w:pPr>
        <w:spacing w:after="0" w:line="480" w:lineRule="auto"/>
        <w:ind w:firstLine="210" w:firstLineChars="100"/>
        <w:rPr>
          <w:rFonts w:ascii="宋体" w:hAnsi="宋体" w:eastAsia="宋体" w:cs="宋体"/>
          <w:color w:val="auto"/>
          <w:sz w:val="21"/>
          <w:szCs w:val="21"/>
        </w:rPr>
      </w:pPr>
      <w:r>
        <w:rPr>
          <w:rFonts w:hint="eastAsia" w:ascii="宋体" w:hAnsi="宋体" w:eastAsia="宋体" w:cs="宋体"/>
          <w:color w:val="auto"/>
          <w:sz w:val="21"/>
          <w:szCs w:val="21"/>
        </w:rPr>
        <w:t>（二）我方承担保证责任的最高金额为人民币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），即本项目的投标保证金金额。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二、保证的方式及保证期间</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我方保证的方式为：连带责任保证。</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我方的保证期间为：自本保函生效之日起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个月止。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三、承担保证责任的程序</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2．我方在收到索赔通知及相关证明材料后，在</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个工作日内进行审查，符合应承担保证责任情形的，我方应按照你方的要求代投标人向你方支付投标保证金。</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四、保证责任的终止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1．保证期间届满你方未向我方书面主张保证责任的，自保证期间届满次日起，我方保证责任自动终止。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2．我方按照本保函向你贵方履行了保证责任后，自我方向你贵方支付款项（支付款项从我方账户划出）之日起，保证责任终止。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3．按照法律法规的规定或出现我方保证责任终止的其它情形的，我方在本保函项下的保证责任亦终止。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五、免责条款</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1．依照法律规定或你方与投标人的另行约定，全部或者部分免除投标人投标保证金义务时，我方亦免除相应的保证责任。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2．因你方原因致使投标人发生本保函第一条第（一）款约定情形的，我方不承担保证责任。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3．因不可抗力造成投标人发生本保函第一条约定情形的，我方不承担保证责任。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4．你方或其他有权机关对招标文件进行任何澄清或修改，加重我方保证责任的，我方对加重部分不承担保证责任，但该澄清或修改经我方事先书面同意的除外。</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六、争议的解决</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因本保函发生的纠纷，由你我双方协商解决，协商不成的，通过诉讼程序解决，诉讼管辖地法院为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七、保函的生效</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本保函自我方加盖公章之日起生效。</w:t>
      </w:r>
    </w:p>
    <w:p>
      <w:pPr>
        <w:spacing w:after="0" w:line="480" w:lineRule="auto"/>
        <w:jc w:val="right"/>
        <w:rPr>
          <w:rFonts w:ascii="宋体" w:hAnsi="宋体" w:eastAsia="宋体" w:cs="宋体"/>
          <w:color w:val="auto"/>
          <w:sz w:val="21"/>
          <w:szCs w:val="21"/>
        </w:rPr>
      </w:pP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保证人：（公章）</w:t>
      </w: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年     月      日</w:t>
      </w:r>
    </w:p>
    <w:p>
      <w:pPr>
        <w:spacing w:after="0"/>
        <w:rPr>
          <w:rFonts w:hint="eastAsia" w:ascii="宋体" w:hAnsi="宋体" w:eastAsia="宋体"/>
          <w:color w:val="auto"/>
          <w:sz w:val="21"/>
          <w:szCs w:val="21"/>
          <w:lang w:eastAsia="zh-CN"/>
        </w:rPr>
      </w:pPr>
    </w:p>
    <w:p>
      <w:pPr>
        <w:spacing w:after="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注：</w:t>
      </w:r>
    </w:p>
    <w:p>
      <w:pPr>
        <w:spacing w:after="0" w:line="48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）若投标人不以投标担保函形式提交投标保证金，则无需在投标文件中提供此格式。</w:t>
      </w:r>
    </w:p>
    <w:p>
      <w:pPr>
        <w:spacing w:after="0" w:line="48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2</w:t>
      </w:r>
      <w:r>
        <w:rPr>
          <w:rFonts w:hint="eastAsia" w:ascii="宋体" w:hAnsi="宋体" w:eastAsia="宋体"/>
          <w:color w:val="auto"/>
          <w:sz w:val="21"/>
          <w:szCs w:val="21"/>
          <w:lang w:eastAsia="zh-CN"/>
        </w:rPr>
        <w:t>）若投标人以投标担保函形式提交投标保证金，则应将投标担保函原件交予采购代理机构。</w:t>
      </w:r>
    </w:p>
    <w:p>
      <w:pPr>
        <w:spacing w:after="0"/>
        <w:rPr>
          <w:rFonts w:ascii="黑体" w:eastAsia="黑体"/>
          <w:color w:val="auto"/>
          <w:sz w:val="30"/>
          <w:szCs w:val="30"/>
        </w:rPr>
      </w:pPr>
      <w:r>
        <w:rPr>
          <w:rFonts w:hint="eastAsia" w:ascii="宋体" w:hAnsi="宋体" w:eastAsia="宋体"/>
          <w:color w:val="auto"/>
          <w:sz w:val="21"/>
          <w:szCs w:val="21"/>
          <w:lang w:eastAsia="zh-CN"/>
        </w:rPr>
        <w:br w:type="page"/>
      </w:r>
      <w:bookmarkStart w:id="218" w:name="_Toc27534"/>
      <w:r>
        <w:rPr>
          <w:rStyle w:val="25"/>
          <w:rFonts w:hint="eastAsia" w:ascii="宋体" w:hAnsi="宋体" w:eastAsia="宋体" w:cs="宋体"/>
          <w:color w:val="auto"/>
          <w:sz w:val="21"/>
          <w:szCs w:val="21"/>
        </w:rPr>
        <w:t>附件22.政府采购履约担保函</w:t>
      </w:r>
      <w:bookmarkEnd w:id="218"/>
    </w:p>
    <w:p>
      <w:pPr>
        <w:jc w:val="center"/>
        <w:rPr>
          <w:rFonts w:ascii="黑体" w:eastAsia="黑体"/>
          <w:color w:val="auto"/>
          <w:sz w:val="28"/>
          <w:szCs w:val="28"/>
        </w:rPr>
      </w:pPr>
      <w:r>
        <w:rPr>
          <w:rFonts w:hint="eastAsia" w:ascii="黑体" w:eastAsia="黑体"/>
          <w:color w:val="auto"/>
          <w:sz w:val="28"/>
          <w:szCs w:val="28"/>
        </w:rPr>
        <w:t>政府采购履约担保函</w:t>
      </w:r>
    </w:p>
    <w:p>
      <w:pPr>
        <w:wordWrap w:val="0"/>
        <w:jc w:val="right"/>
        <w:rPr>
          <w:rFonts w:ascii="仿宋_GB2312" w:eastAsia="仿宋_GB2312"/>
          <w:color w:val="auto"/>
          <w:sz w:val="32"/>
          <w:szCs w:val="32"/>
        </w:rPr>
      </w:pPr>
      <w:r>
        <w:rPr>
          <w:rFonts w:hint="eastAsia" w:ascii="黑体" w:eastAsia="黑体"/>
          <w:color w:val="auto"/>
          <w:sz w:val="28"/>
          <w:szCs w:val="28"/>
        </w:rPr>
        <w:t xml:space="preserve">编号：  </w:t>
      </w:r>
      <w:r>
        <w:rPr>
          <w:rFonts w:hint="eastAsia" w:ascii="仿宋_GB2312" w:eastAsia="仿宋_GB2312"/>
          <w:color w:val="auto"/>
          <w:sz w:val="32"/>
          <w:szCs w:val="32"/>
        </w:rPr>
        <w:t xml:space="preserve">       </w:t>
      </w: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（采购人）：</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鉴于你方与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（以下简称供应商）于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日签定编号为   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政府采购合同》（以下简称主合同），且依据该合同的约定，供应商应在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日前向你方交纳履约保证金，且可以履约担保函的形式交纳履约保证金。应供应商的申请，我方以保证的方式向你方提供如下履约保证金担保：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一、保证责任的情形及保证金额</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（一）在供应商出现下列情形之一时，我方承担保证责任：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1．将中标项目转让给他人，或者在投标文件中未说明，且未经采购招标机构人同意，将中标项目分包给他人的；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 xml:space="preserve">2．主合同约定的应当缴纳履约保证金的情形: </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（1）未按主合同约定的质量、数量和期限供应货物/提供服务/完成工程的；</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after="0" w:line="480" w:lineRule="auto"/>
        <w:ind w:right="-1291" w:rightChars="-587" w:firstLine="420" w:firstLineChars="200"/>
        <w:rPr>
          <w:rFonts w:ascii="宋体" w:hAnsi="宋体" w:eastAsia="宋体" w:cs="宋体"/>
          <w:color w:val="auto"/>
          <w:sz w:val="21"/>
          <w:szCs w:val="21"/>
        </w:rPr>
      </w:pPr>
      <w:r>
        <w:rPr>
          <w:rFonts w:hint="eastAsia" w:ascii="宋体" w:hAnsi="宋体" w:eastAsia="宋体" w:cs="宋体"/>
          <w:color w:val="auto"/>
          <w:sz w:val="21"/>
          <w:szCs w:val="21"/>
        </w:rPr>
        <w:t>（二）我方的保证范围是主合同约定的合同价款总额</w:t>
      </w:r>
      <w:r>
        <w:rPr>
          <w:rFonts w:hint="eastAsia" w:ascii="宋体" w:hAnsi="宋体" w:eastAsia="宋体" w:cs="宋体"/>
          <w:color w:val="auto"/>
          <w:sz w:val="21"/>
          <w:szCs w:val="21"/>
          <w:u w:val="single"/>
        </w:rPr>
        <w:t xml:space="preserve">  </w:t>
      </w:r>
    </w:p>
    <w:p>
      <w:pPr>
        <w:spacing w:after="0" w:line="480" w:lineRule="auto"/>
        <w:ind w:right="26" w:rightChars="12"/>
        <w:rPr>
          <w:rFonts w:ascii="宋体" w:hAnsi="宋体" w:eastAsia="宋体" w:cs="宋体"/>
          <w:color w:val="auto"/>
          <w:sz w:val="21"/>
          <w:szCs w:val="21"/>
        </w:rPr>
      </w:pPr>
      <w:r>
        <w:rPr>
          <w:rFonts w:hint="eastAsia" w:ascii="宋体" w:hAnsi="宋体" w:eastAsia="宋体" w:cs="宋体"/>
          <w:color w:val="auto"/>
          <w:sz w:val="21"/>
          <w:szCs w:val="21"/>
        </w:rPr>
        <w:t>%数额为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。（即主合同履约保证金金额）</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二、保证的方式及保证期间</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我方保证的方式为：连带责任保证。</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我方保证的期间为：自本合同生效之日起至供应商按照主合同约定的供货/完工期限届满后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如果供应商未按主合同约定向贵方供应货物/提供服务/完成工程的，由我方在保证金额内向你方支付上述款项。</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三、承担保证责任的程序</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1．你方要求我方承担保证责任的，应在本保函保证期间内向我方发出书面索赔通知。索赔通知应写明要求索赔的金额，支付款项应到达的帐号。并附有证明供应商违约事实的证明材料。</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如果你方与供应商因货物质量问题产生争议，你方还需同时提供</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部门出具的质量检测报告，或经诉讼（仲裁）程序裁决后的裁决书、调解书，本保证人即按照检测结果或裁决书、调解书决定是否承担保证责任。</w:t>
      </w:r>
    </w:p>
    <w:p>
      <w:pPr>
        <w:spacing w:after="0" w:line="480" w:lineRule="auto"/>
        <w:ind w:right="-726" w:rightChars="-330" w:firstLine="420" w:firstLineChars="200"/>
        <w:rPr>
          <w:rFonts w:ascii="宋体" w:hAnsi="宋体" w:eastAsia="宋体" w:cs="宋体"/>
          <w:color w:val="auto"/>
          <w:sz w:val="21"/>
          <w:szCs w:val="21"/>
          <w:u w:val="single"/>
        </w:rPr>
      </w:pPr>
      <w:r>
        <w:rPr>
          <w:rFonts w:hint="eastAsia" w:ascii="宋体" w:hAnsi="宋体" w:eastAsia="宋体" w:cs="宋体"/>
          <w:color w:val="auto"/>
          <w:sz w:val="21"/>
          <w:szCs w:val="21"/>
        </w:rPr>
        <w:t>2．我方收到你方的书面索赔通知及相应证明材料，在</w:t>
      </w:r>
      <w:r>
        <w:rPr>
          <w:rFonts w:hint="eastAsia" w:ascii="宋体" w:hAnsi="宋体" w:eastAsia="宋体" w:cs="宋体"/>
          <w:color w:val="auto"/>
          <w:sz w:val="21"/>
          <w:szCs w:val="21"/>
          <w:u w:val="single"/>
        </w:rPr>
        <w:t xml:space="preserve">  </w:t>
      </w:r>
    </w:p>
    <w:p>
      <w:pPr>
        <w:spacing w:after="0" w:line="480" w:lineRule="auto"/>
        <w:ind w:right="-726" w:rightChars="-330"/>
        <w:rPr>
          <w:rFonts w:ascii="宋体" w:hAnsi="宋体" w:eastAsia="宋体" w:cs="宋体"/>
          <w:color w:val="auto"/>
          <w:sz w:val="21"/>
          <w:szCs w:val="21"/>
        </w:rPr>
      </w:pPr>
      <w:r>
        <w:rPr>
          <w:rFonts w:hint="eastAsia" w:ascii="宋体" w:hAnsi="宋体" w:eastAsia="宋体" w:cs="宋体"/>
          <w:color w:val="auto"/>
          <w:sz w:val="21"/>
          <w:szCs w:val="21"/>
        </w:rPr>
        <w:t>工作日内进行核定后按照本保函的承诺承担保证责任。</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四、保证责任的终止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1．保证期间届满你方未向我方书面主张保证责任的，自保证期间届满次日起，我方保证责任自动终止。保证期间届满前，主合同约定的货物\工程\服务全部验收合格的，自验收合格日起，我方保证责任自动终止。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2．我方按照本保函向你方履行了保证责任后，自我方向你方支付款项（支付款项从我方账户划出）之日起，保证责任即终止。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3．按照法律法规的规定或出现应终止我方保证责任的其它情形的，我方在本保函项下的保证责任亦终止。</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五、免责条款</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1．因你方违反主合同约定致使供应商不能履行义务的，我方不承担保证责任。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2．依照法律法规的规定或你方与供应商的另行约定，全部或者部分免除供应商应缴纳的保证金义务的，我方亦免除相应的保证责任。</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3．因不可抗力造成供应商不能履行供货义务的，我方不承担保证责任。</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六、争议的解决</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因本保函发生的纠纷，由你我双方协商解决，协商不成的，通过诉讼程序解决，诉讼管辖地法院为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法院。</w:t>
      </w:r>
    </w:p>
    <w:p>
      <w:pPr>
        <w:spacing w:after="0" w:line="480" w:lineRule="auto"/>
        <w:ind w:firstLine="422" w:firstLineChars="200"/>
        <w:rPr>
          <w:rFonts w:ascii="宋体" w:hAnsi="宋体" w:eastAsia="宋体" w:cs="宋体"/>
          <w:b/>
          <w:color w:val="auto"/>
          <w:sz w:val="21"/>
          <w:szCs w:val="21"/>
        </w:rPr>
      </w:pPr>
      <w:r>
        <w:rPr>
          <w:rFonts w:hint="eastAsia" w:ascii="宋体" w:hAnsi="宋体" w:eastAsia="宋体" w:cs="宋体"/>
          <w:b/>
          <w:color w:val="auto"/>
          <w:sz w:val="21"/>
          <w:szCs w:val="21"/>
        </w:rPr>
        <w:t>七、保函的生效</w:t>
      </w:r>
    </w:p>
    <w:p>
      <w:pPr>
        <w:spacing w:after="0" w:line="480" w:lineRule="auto"/>
        <w:ind w:firstLine="420" w:firstLineChars="200"/>
        <w:rPr>
          <w:rFonts w:ascii="宋体" w:hAnsi="宋体" w:eastAsia="宋体" w:cs="宋体"/>
          <w:color w:val="auto"/>
          <w:sz w:val="21"/>
          <w:szCs w:val="21"/>
        </w:rPr>
      </w:pPr>
      <w:r>
        <w:rPr>
          <w:rFonts w:hint="eastAsia" w:ascii="宋体" w:hAnsi="宋体" w:eastAsia="宋体" w:cs="宋体"/>
          <w:color w:val="auto"/>
          <w:sz w:val="21"/>
          <w:szCs w:val="21"/>
        </w:rPr>
        <w:t>本保函自我方加盖公章之日起生效。</w:t>
      </w:r>
    </w:p>
    <w:p>
      <w:pPr>
        <w:spacing w:after="0" w:line="480" w:lineRule="auto"/>
        <w:rPr>
          <w:rFonts w:ascii="宋体" w:hAnsi="宋体" w:eastAsia="宋体" w:cs="宋体"/>
          <w:color w:val="auto"/>
          <w:sz w:val="21"/>
          <w:szCs w:val="21"/>
        </w:rPr>
      </w:pPr>
    </w:p>
    <w:p>
      <w:pPr>
        <w:spacing w:after="0" w:line="480" w:lineRule="auto"/>
        <w:rPr>
          <w:rFonts w:ascii="宋体" w:hAnsi="宋体" w:eastAsia="宋体" w:cs="宋体"/>
          <w:color w:val="auto"/>
          <w:sz w:val="21"/>
          <w:szCs w:val="21"/>
        </w:rPr>
      </w:pPr>
      <w:r>
        <w:rPr>
          <w:rFonts w:hint="eastAsia" w:ascii="宋体" w:hAnsi="宋体" w:eastAsia="宋体" w:cs="宋体"/>
          <w:color w:val="auto"/>
          <w:sz w:val="21"/>
          <w:szCs w:val="21"/>
        </w:rPr>
        <w:t xml:space="preserve">                                 </w:t>
      </w:r>
    </w:p>
    <w:p>
      <w:pPr>
        <w:spacing w:after="0" w:line="480" w:lineRule="auto"/>
        <w:jc w:val="right"/>
        <w:rPr>
          <w:rFonts w:ascii="宋体" w:hAnsi="宋体" w:eastAsia="宋体" w:cs="宋体"/>
          <w:color w:val="auto"/>
          <w:sz w:val="21"/>
          <w:szCs w:val="21"/>
        </w:rPr>
      </w:pPr>
      <w:r>
        <w:rPr>
          <w:rFonts w:hint="eastAsia" w:ascii="宋体" w:hAnsi="宋体" w:eastAsia="宋体" w:cs="宋体"/>
          <w:color w:val="auto"/>
          <w:sz w:val="21"/>
          <w:szCs w:val="21"/>
        </w:rPr>
        <w:t>保证人：（公章）</w:t>
      </w:r>
    </w:p>
    <w:p>
      <w:pPr>
        <w:spacing w:after="0" w:line="480" w:lineRule="auto"/>
        <w:jc w:val="right"/>
        <w:rPr>
          <w:rFonts w:hint="eastAsia" w:ascii="宋体" w:hAnsi="宋体" w:eastAsia="宋体" w:cs="宋体"/>
          <w:color w:val="auto"/>
          <w:sz w:val="21"/>
          <w:szCs w:val="21"/>
        </w:rPr>
      </w:pPr>
      <w:r>
        <w:rPr>
          <w:rFonts w:hint="eastAsia" w:ascii="宋体" w:hAnsi="宋体" w:eastAsia="宋体" w:cs="宋体"/>
          <w:color w:val="auto"/>
          <w:sz w:val="21"/>
          <w:szCs w:val="21"/>
        </w:rPr>
        <w:t>年     月      日</w:t>
      </w:r>
    </w:p>
    <w:p>
      <w:pPr>
        <w:spacing w:after="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注：</w:t>
      </w:r>
    </w:p>
    <w:p>
      <w:pPr>
        <w:spacing w:after="0" w:line="480" w:lineRule="auto"/>
        <w:ind w:firstLine="420" w:firstLineChars="20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w:t>
      </w:r>
      <w:r>
        <w:rPr>
          <w:rFonts w:hint="eastAsia" w:ascii="宋体" w:hAnsi="宋体" w:eastAsia="宋体"/>
          <w:color w:val="auto"/>
          <w:sz w:val="21"/>
          <w:szCs w:val="21"/>
          <w:lang w:val="en-US" w:eastAsia="zh-CN"/>
        </w:rPr>
        <w:t>1</w:t>
      </w:r>
      <w:r>
        <w:rPr>
          <w:rFonts w:hint="eastAsia" w:ascii="宋体" w:hAnsi="宋体" w:eastAsia="宋体"/>
          <w:color w:val="auto"/>
          <w:sz w:val="21"/>
          <w:szCs w:val="21"/>
          <w:lang w:eastAsia="zh-CN"/>
        </w:rPr>
        <w:t>）此格式为履约担保函格式，无需在投标文件中提供此格式。</w:t>
      </w:r>
    </w:p>
    <w:p>
      <w:pPr>
        <w:pStyle w:val="6"/>
        <w:rPr>
          <w:color w:val="auto"/>
        </w:rPr>
      </w:pPr>
    </w:p>
    <w:p>
      <w:pPr>
        <w:pStyle w:val="2"/>
        <w:spacing w:before="0" w:after="0" w:line="240" w:lineRule="auto"/>
        <w:jc w:val="center"/>
        <w:rPr>
          <w:rFonts w:ascii="宋体" w:hAnsi="宋体" w:eastAsia="宋体" w:cs="宋体"/>
          <w:color w:val="auto"/>
          <w:sz w:val="21"/>
          <w:szCs w:val="21"/>
        </w:rPr>
      </w:pPr>
      <w:r>
        <w:rPr>
          <w:rFonts w:ascii="宋体" w:hAnsi="宋体" w:eastAsia="宋体" w:cs="宋体"/>
          <w:color w:val="auto"/>
          <w:sz w:val="21"/>
          <w:szCs w:val="21"/>
        </w:rPr>
        <w:br w:type="page"/>
      </w:r>
    </w:p>
    <w:p>
      <w:pPr>
        <w:pStyle w:val="4"/>
        <w:spacing w:before="0" w:after="0" w:line="240" w:lineRule="auto"/>
        <w:rPr>
          <w:rFonts w:ascii="宋体" w:hAnsi="宋体" w:eastAsia="宋体" w:cs="宋体"/>
          <w:color w:val="auto"/>
          <w:sz w:val="21"/>
          <w:szCs w:val="21"/>
        </w:rPr>
      </w:pPr>
      <w:bookmarkStart w:id="219" w:name="_Toc17023"/>
      <w:r>
        <w:rPr>
          <w:rFonts w:hint="eastAsia" w:ascii="宋体" w:hAnsi="宋体" w:eastAsia="宋体" w:cs="宋体"/>
          <w:color w:val="auto"/>
          <w:sz w:val="21"/>
          <w:szCs w:val="21"/>
        </w:rPr>
        <w:t>附件23.获取招标文件登记表</w:t>
      </w:r>
      <w:bookmarkEnd w:id="219"/>
    </w:p>
    <w:p>
      <w:pPr>
        <w:pStyle w:val="2"/>
        <w:spacing w:before="0" w:after="0" w:line="240" w:lineRule="auto"/>
        <w:jc w:val="center"/>
        <w:rPr>
          <w:rFonts w:ascii="黑体" w:hAnsi="宋体"/>
          <w:color w:val="auto"/>
          <w:sz w:val="44"/>
          <w:szCs w:val="44"/>
        </w:rPr>
      </w:pPr>
      <w:bookmarkStart w:id="220" w:name="_Toc1968"/>
    </w:p>
    <w:p>
      <w:pPr>
        <w:spacing w:after="0"/>
        <w:jc w:val="center"/>
        <w:rPr>
          <w:rFonts w:ascii="黑体" w:hAnsi="黑体" w:eastAsia="黑体" w:cs="黑体"/>
          <w:color w:val="auto"/>
          <w:sz w:val="36"/>
          <w:szCs w:val="36"/>
        </w:rPr>
      </w:pPr>
      <w:r>
        <w:rPr>
          <w:rFonts w:hint="eastAsia" w:ascii="黑体" w:hAnsi="黑体" w:eastAsia="黑体" w:cs="黑体"/>
          <w:color w:val="auto"/>
          <w:sz w:val="36"/>
          <w:szCs w:val="36"/>
          <w:lang w:eastAsia="zh-CN"/>
        </w:rPr>
        <w:t>获取</w:t>
      </w:r>
      <w:r>
        <w:rPr>
          <w:rFonts w:hint="eastAsia" w:ascii="黑体" w:hAnsi="黑体" w:eastAsia="黑体" w:cs="黑体"/>
          <w:color w:val="auto"/>
          <w:sz w:val="36"/>
          <w:szCs w:val="36"/>
        </w:rPr>
        <w:t>招标文件登记表</w:t>
      </w:r>
      <w:bookmarkEnd w:id="220"/>
    </w:p>
    <w:tbl>
      <w:tblPr>
        <w:tblStyle w:val="17"/>
        <w:tblW w:w="8528"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630"/>
        <w:gridCol w:w="589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获取招标文件时间</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lang w:eastAsia="zh-CN"/>
              </w:rPr>
              <w:t>2020</w:t>
            </w:r>
            <w:r>
              <w:rPr>
                <w:rFonts w:hint="eastAsia" w:ascii="宋体" w:hAnsi="宋体" w:eastAsia="宋体" w:cs="宋体"/>
                <w:color w:val="auto"/>
                <w:sz w:val="32"/>
                <w:szCs w:val="32"/>
              </w:rPr>
              <w:t>年    月    日    时    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拟投标项目名称</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项目编号</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供应商全称</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供应商联系人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电话</w:t>
            </w:r>
          </w:p>
        </w:tc>
        <w:tc>
          <w:tcPr>
            <w:tcW w:w="5898"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drawing>
                <wp:anchor distT="0" distB="0" distL="114300" distR="114300" simplePos="0" relativeHeight="251658240" behindDoc="1" locked="0" layoutInCell="1" allowOverlap="1">
                  <wp:simplePos x="0" y="0"/>
                  <wp:positionH relativeFrom="column">
                    <wp:posOffset>485775</wp:posOffset>
                  </wp:positionH>
                  <wp:positionV relativeFrom="paragraph">
                    <wp:posOffset>22225</wp:posOffset>
                  </wp:positionV>
                  <wp:extent cx="1504950" cy="1409700"/>
                  <wp:effectExtent l="0" t="0" r="0" b="0"/>
                  <wp:wrapNone/>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a:stretch>
                            <a:fillRect/>
                          </a:stretch>
                        </pic:blipFill>
                        <pic:spPr>
                          <a:xfrm>
                            <a:off x="0" y="0"/>
                            <a:ext cx="1504950" cy="1409700"/>
                          </a:xfrm>
                          <a:prstGeom prst="rect">
                            <a:avLst/>
                          </a:prstGeom>
                          <a:noFill/>
                          <a:ln>
                            <a:noFill/>
                          </a:ln>
                        </pic:spPr>
                      </pic:pic>
                    </a:graphicData>
                  </a:graphic>
                </wp:anchor>
              </w:drawing>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手机</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传真</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电子邮箱</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单位地址及邮编</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076"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备注</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招标文件领取人签名</w:t>
            </w:r>
          </w:p>
        </w:tc>
        <w:tc>
          <w:tcPr>
            <w:tcW w:w="5898" w:type="dxa"/>
            <w:vAlign w:val="center"/>
          </w:tcPr>
          <w:p>
            <w:pPr>
              <w:spacing w:after="0"/>
              <w:jc w:val="center"/>
              <w:rPr>
                <w:rFonts w:ascii="宋体" w:hAnsi="宋体" w:eastAsia="宋体" w:cs="宋体"/>
                <w:color w:val="auto"/>
                <w:sz w:val="32"/>
                <w:szCs w:val="32"/>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atLeast"/>
        </w:trPr>
        <w:tc>
          <w:tcPr>
            <w:tcW w:w="2630" w:type="dxa"/>
            <w:vAlign w:val="center"/>
          </w:tcPr>
          <w:p>
            <w:pPr>
              <w:spacing w:after="0"/>
              <w:jc w:val="center"/>
              <w:rPr>
                <w:rFonts w:ascii="宋体" w:hAnsi="宋体" w:eastAsia="宋体" w:cs="宋体"/>
                <w:color w:val="auto"/>
                <w:sz w:val="32"/>
                <w:szCs w:val="32"/>
              </w:rPr>
            </w:pPr>
            <w:r>
              <w:rPr>
                <w:rFonts w:hint="eastAsia" w:ascii="宋体" w:hAnsi="宋体" w:eastAsia="宋体" w:cs="宋体"/>
                <w:color w:val="auto"/>
                <w:sz w:val="32"/>
                <w:szCs w:val="32"/>
              </w:rPr>
              <w:t>招标文件发售人签名</w:t>
            </w:r>
          </w:p>
        </w:tc>
        <w:tc>
          <w:tcPr>
            <w:tcW w:w="5898" w:type="dxa"/>
            <w:vAlign w:val="center"/>
          </w:tcPr>
          <w:p>
            <w:pPr>
              <w:spacing w:after="0"/>
              <w:jc w:val="center"/>
              <w:rPr>
                <w:rFonts w:ascii="宋体" w:hAnsi="宋体" w:eastAsia="宋体" w:cs="宋体"/>
                <w:color w:val="auto"/>
                <w:sz w:val="32"/>
                <w:szCs w:val="32"/>
              </w:rPr>
            </w:pPr>
          </w:p>
        </w:tc>
      </w:tr>
    </w:tbl>
    <w:p>
      <w:pPr>
        <w:rPr>
          <w:rFonts w:ascii="宋体" w:hAnsi="宋体" w:eastAsia="宋体" w:cs="宋体"/>
          <w:color w:val="auto"/>
          <w:sz w:val="21"/>
          <w:szCs w:val="21"/>
        </w:rPr>
      </w:pPr>
    </w:p>
    <w:p>
      <w:pPr>
        <w:rPr>
          <w:color w:val="auto"/>
        </w:rPr>
      </w:pPr>
      <w:r>
        <w:rPr>
          <w:color w:val="auto"/>
        </w:rPr>
        <w:br w:type="page"/>
      </w:r>
    </w:p>
    <w:p>
      <w:pPr>
        <w:pStyle w:val="4"/>
        <w:spacing w:before="0" w:after="0" w:line="240" w:lineRule="auto"/>
        <w:rPr>
          <w:rFonts w:hint="eastAsia" w:ascii="宋体" w:hAnsi="宋体" w:eastAsia="宋体" w:cs="宋体"/>
          <w:color w:val="auto"/>
          <w:sz w:val="21"/>
          <w:szCs w:val="21"/>
          <w:lang w:val="en-US" w:eastAsia="zh-CN"/>
        </w:rPr>
      </w:pPr>
      <w:bookmarkStart w:id="221" w:name="_Toc11182"/>
      <w:r>
        <w:rPr>
          <w:rFonts w:hint="eastAsia" w:ascii="宋体" w:hAnsi="宋体" w:eastAsia="宋体" w:cs="宋体"/>
          <w:color w:val="auto"/>
          <w:sz w:val="21"/>
          <w:szCs w:val="21"/>
          <w:lang w:eastAsia="zh-CN"/>
        </w:rPr>
        <w:t>附件</w:t>
      </w:r>
      <w:r>
        <w:rPr>
          <w:rFonts w:hint="eastAsia" w:ascii="宋体" w:hAnsi="宋体" w:eastAsia="宋体" w:cs="宋体"/>
          <w:color w:val="auto"/>
          <w:sz w:val="21"/>
          <w:szCs w:val="21"/>
          <w:lang w:val="en-US" w:eastAsia="zh-CN"/>
        </w:rPr>
        <w:t xml:space="preserve"> 24.质疑函范本</w:t>
      </w:r>
      <w:bookmarkEnd w:id="221"/>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1.质疑函</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一、质疑供应商基本信息</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质疑供应商：</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联系人：</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授权代表：</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联系电话：</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地址：</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邮编：</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二、质疑项目基本情况</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质疑项目的名称：</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质疑项目的编号：</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包号：</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采购人名称：</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采购文件获取日期：</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三、质疑事项具体内容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质疑事项1：</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事实依据：</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法律依据：</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质疑事项2</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四、与质疑事项相关的质疑请求</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请求：</w:t>
      </w:r>
      <w:r>
        <w:rPr>
          <w:rFonts w:hint="eastAsia" w:ascii="宋体" w:hAnsi="宋体" w:eastAsia="宋体" w:cs="宋体"/>
          <w:color w:val="auto"/>
          <w:sz w:val="21"/>
          <w:szCs w:val="21"/>
          <w:u w:val="single"/>
        </w:rPr>
        <w:t xml:space="preserve">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签字(签章)：                   公章：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日期：    </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质疑函制作说明：</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1.供应商提出质疑时，应提交质疑函和必要的证明材料。</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3.质疑供应商若对项目的某一分包进行质疑，质疑函中应列明具体分包号。</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4.质疑函的质疑事项应具体、明确，并有必要的事实依据和法律依据。</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5.质疑函的质疑请求应与质疑事项相关。</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6.质疑供应商为自然人的，质疑函应由本人签字；质疑供应商为法人或者其他组织的，质疑函应由法定代表人、主要负责人，或者其授权代表签字或者盖章，并加盖公章。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质疑供应商提交质疑函时须提供质疑函、法人或者非法人组织的营业执照等证明文件或自然人的身份证复印件（质疑供应商为自然人）。如不是法定代表人或主要负责人提交质疑函的，应同时提供法定代表人或主要负责人有效的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rPr>
        <w:t>8.质疑函递交地址为采购代理机构办公地址，详细地址详见投标邀请书。</w:t>
      </w:r>
    </w:p>
    <w:p>
      <w:pPr>
        <w:pStyle w:val="6"/>
        <w:rPr>
          <w:rFonts w:hint="eastAsia"/>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br w:type="page"/>
      </w:r>
      <w:r>
        <w:rPr>
          <w:rFonts w:hint="eastAsia" w:ascii="宋体" w:hAnsi="宋体" w:eastAsia="宋体" w:cs="宋体"/>
          <w:color w:val="auto"/>
          <w:sz w:val="21"/>
          <w:szCs w:val="21"/>
        </w:rPr>
        <w:t>2.询问函、质疑函授权书参考格式</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法定代表人或负责人授权委托书</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ind w:firstLine="420" w:firstLineChars="200"/>
        <w:textAlignment w:val="auto"/>
        <w:rPr>
          <w:rFonts w:hint="eastAsia" w:ascii="宋体" w:hAnsi="宋体" w:eastAsia="宋体" w:cs="宋体"/>
          <w:color w:val="auto"/>
          <w:sz w:val="21"/>
          <w:szCs w:val="21"/>
          <w:u w:val="single"/>
        </w:rPr>
      </w:pPr>
      <w:r>
        <w:rPr>
          <w:rFonts w:hint="eastAsia" w:ascii="宋体" w:hAnsi="宋体" w:eastAsia="宋体" w:cs="宋体"/>
          <w:color w:val="auto"/>
          <w:sz w:val="21"/>
          <w:szCs w:val="21"/>
        </w:rPr>
        <w:t>本委托书声明：在下面签字的</w:t>
      </w:r>
      <w:r>
        <w:rPr>
          <w:rFonts w:hint="eastAsia" w:ascii="宋体" w:hAnsi="宋体" w:eastAsia="宋体" w:cs="宋体"/>
          <w:color w:val="auto"/>
          <w:sz w:val="21"/>
          <w:szCs w:val="21"/>
          <w:u w:val="single"/>
        </w:rPr>
        <w:t xml:space="preserve">           （法定代表人或负责人姓名、职务）</w:t>
      </w:r>
      <w:r>
        <w:rPr>
          <w:rFonts w:hint="eastAsia" w:ascii="宋体" w:hAnsi="宋体" w:eastAsia="宋体" w:cs="宋体"/>
          <w:color w:val="auto"/>
          <w:sz w:val="21"/>
          <w:szCs w:val="21"/>
        </w:rPr>
        <w:t xml:space="preserve">代表 </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委托在下面签字的</w:t>
      </w:r>
      <w:r>
        <w:rPr>
          <w:rFonts w:hint="eastAsia" w:ascii="宋体" w:hAnsi="宋体" w:eastAsia="宋体" w:cs="宋体"/>
          <w:color w:val="auto"/>
          <w:sz w:val="21"/>
          <w:szCs w:val="21"/>
          <w:u w:val="single"/>
        </w:rPr>
        <w:t xml:space="preserve">          （授权代表的姓名、职务）</w:t>
      </w:r>
      <w:r>
        <w:rPr>
          <w:rFonts w:hint="eastAsia" w:ascii="宋体" w:hAnsi="宋体" w:eastAsia="宋体" w:cs="宋体"/>
          <w:color w:val="auto"/>
          <w:sz w:val="21"/>
          <w:szCs w:val="21"/>
        </w:rPr>
        <w:t>为本公司的合法代表人，就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采购项目（采购编号：</w:t>
      </w:r>
      <w:r>
        <w:rPr>
          <w:rFonts w:hint="eastAsia" w:ascii="宋体" w:hAnsi="宋体" w:eastAsia="宋体" w:cs="宋体"/>
          <w:color w:val="auto"/>
          <w:sz w:val="21"/>
          <w:szCs w:val="21"/>
          <w:u w:val="single"/>
        </w:rPr>
        <w:t xml:space="preserve">          ）             （填写授权内容）</w:t>
      </w:r>
      <w:r>
        <w:rPr>
          <w:rFonts w:hint="eastAsia" w:ascii="宋体" w:hAnsi="宋体" w:eastAsia="宋体" w:cs="宋体"/>
          <w:color w:val="auto"/>
          <w:sz w:val="21"/>
          <w:szCs w:val="21"/>
        </w:rPr>
        <w:t>，以本公司的名义处理一切与之有关的事宜</w:t>
      </w:r>
      <w:r>
        <w:rPr>
          <w:rFonts w:hint="eastAsia" w:ascii="宋体" w:hAnsi="宋体" w:eastAsia="宋体" w:cs="宋体"/>
          <w:color w:val="auto"/>
          <w:sz w:val="21"/>
          <w:szCs w:val="21"/>
          <w:u w:val="single"/>
        </w:rPr>
        <w:t>（须提供法定代表人或负责人、授权代表身份证复印件）。</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本委托书于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年</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月</w:t>
      </w:r>
      <w:r>
        <w:rPr>
          <w:rFonts w:hint="eastAsia" w:ascii="宋体" w:hAnsi="宋体" w:eastAsia="宋体" w:cs="宋体"/>
          <w:color w:val="auto"/>
          <w:sz w:val="21"/>
          <w:szCs w:val="21"/>
          <w:u w:val="single"/>
        </w:rPr>
        <w:t>　</w:t>
      </w:r>
      <w:r>
        <w:rPr>
          <w:rFonts w:hint="eastAsia" w:ascii="宋体" w:hAnsi="宋体" w:eastAsia="宋体" w:cs="宋体"/>
          <w:color w:val="auto"/>
          <w:sz w:val="21"/>
          <w:szCs w:val="21"/>
        </w:rPr>
        <w:t>日签字生效。</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供应商名称（加盖公章）：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法定代表人或负责人（签名或盖私章）：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授权代表（签名或盖私章）：</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 w:hAnsi="仿宋" w:eastAsia="仿宋"/>
          <w:color w:val="auto"/>
          <w:sz w:val="24"/>
        </w:rPr>
      </w:pPr>
      <w:r>
        <w:rPr>
          <w:rFonts w:hint="eastAsia" w:ascii="宋体" w:hAnsi="宋体" w:eastAsia="宋体" w:cs="宋体"/>
          <w:color w:val="auto"/>
          <w:sz w:val="21"/>
          <w:szCs w:val="21"/>
        </w:rPr>
        <w:t>日期：</w:t>
      </w:r>
    </w:p>
    <w:p>
      <w:pPr>
        <w:bidi w:val="0"/>
        <w:rPr>
          <w:rFonts w:hint="default"/>
          <w:color w:val="auto"/>
          <w:lang w:val="en-US" w:eastAsia="zh-CN"/>
        </w:rPr>
      </w:pPr>
    </w:p>
    <w:sectPr>
      <w:footerReference r:id="rId5" w:type="first"/>
      <w:footerReference r:id="rId4" w:type="default"/>
      <w:pgSz w:w="11906" w:h="16838"/>
      <w:pgMar w:top="1440" w:right="1800" w:bottom="1440" w:left="1800" w:header="708" w:footer="708" w:gutter="0"/>
      <w:pgNumType w:start="1"/>
      <w:cols w:space="708" w:num="1"/>
      <w:titlePg/>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ql5uc8AAAAF&#10;AQAADwAAAAAAAAABACAAAAAiAAAAZHJzL2Rvd25yZXYueG1sUEsBAhQAFAAAAAgAh07iQLhhMEKz&#10;AQAASwMAAA4AAAAAAAAAAQAgAAAAHgEAAGRycy9lMm9Eb2MueG1sUEsFBgAAAAAGAAYAWQEAAEMF&#10;AA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c97CcLIB&#10;AABLAwAADgAAAAAAAAABACAAAAAeAQAAZHJzL2Uyb0RvYy54bWxQSwUGAAAAAAYABgBZAQAAQgUA&#10;AAAA&#10;">
              <v:fill on="f" focussize="0,0"/>
              <v:stroke on="f"/>
              <v:imagedata o:title=""/>
              <o:lock v:ext="edit" aspectratio="f"/>
              <v:textbox inset="0mm,0mm,0mm,0mm" style="mso-fit-shape-to-text:t;">
                <w:txbxContent>
                  <w:p>
                    <w:pPr>
                      <w:pStyle w:val="10"/>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62</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pPr>
    <w:r>
      <w:rPr>
        <w:rFonts w:hint="eastAsia"/>
      </w:rPr>
      <w:t>东莞市政府采购公开招标文件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587489"/>
    <w:multiLevelType w:val="singleLevel"/>
    <w:tmpl w:val="93587489"/>
    <w:lvl w:ilvl="0" w:tentative="0">
      <w:start w:val="1"/>
      <w:numFmt w:val="decimal"/>
      <w:suff w:val="nothing"/>
      <w:lvlText w:val="%1、"/>
      <w:lvlJc w:val="left"/>
    </w:lvl>
  </w:abstractNum>
  <w:abstractNum w:abstractNumId="1">
    <w:nsid w:val="BAA12ADA"/>
    <w:multiLevelType w:val="singleLevel"/>
    <w:tmpl w:val="BAA12ADA"/>
    <w:lvl w:ilvl="0" w:tentative="0">
      <w:start w:val="1"/>
      <w:numFmt w:val="decimal"/>
      <w:suff w:val="nothing"/>
      <w:lvlText w:val="（%1）"/>
      <w:lvlJc w:val="left"/>
    </w:lvl>
  </w:abstractNum>
  <w:abstractNum w:abstractNumId="2">
    <w:nsid w:val="CFF174A5"/>
    <w:multiLevelType w:val="singleLevel"/>
    <w:tmpl w:val="CFF174A5"/>
    <w:lvl w:ilvl="0" w:tentative="0">
      <w:start w:val="1"/>
      <w:numFmt w:val="decimal"/>
      <w:suff w:val="nothing"/>
      <w:lvlText w:val="%1、"/>
      <w:lvlJc w:val="left"/>
    </w:lvl>
  </w:abstractNum>
  <w:abstractNum w:abstractNumId="3">
    <w:nsid w:val="D0047B7E"/>
    <w:multiLevelType w:val="singleLevel"/>
    <w:tmpl w:val="D0047B7E"/>
    <w:lvl w:ilvl="0" w:tentative="0">
      <w:start w:val="1"/>
      <w:numFmt w:val="decimal"/>
      <w:suff w:val="nothing"/>
      <w:lvlText w:val="%1、"/>
      <w:lvlJc w:val="left"/>
    </w:lvl>
  </w:abstractNum>
  <w:abstractNum w:abstractNumId="4">
    <w:nsid w:val="E09EF6E1"/>
    <w:multiLevelType w:val="singleLevel"/>
    <w:tmpl w:val="E09EF6E1"/>
    <w:lvl w:ilvl="0" w:tentative="0">
      <w:start w:val="1"/>
      <w:numFmt w:val="decimal"/>
      <w:suff w:val="nothing"/>
      <w:lvlText w:val="（%1）"/>
      <w:lvlJc w:val="left"/>
    </w:lvl>
  </w:abstractNum>
  <w:abstractNum w:abstractNumId="5">
    <w:nsid w:val="F73DC5D7"/>
    <w:multiLevelType w:val="singleLevel"/>
    <w:tmpl w:val="F73DC5D7"/>
    <w:lvl w:ilvl="0" w:tentative="0">
      <w:start w:val="1"/>
      <w:numFmt w:val="decimal"/>
      <w:suff w:val="nothing"/>
      <w:lvlText w:val="（%1）"/>
      <w:lvlJc w:val="left"/>
    </w:lvl>
  </w:abstractNum>
  <w:abstractNum w:abstractNumId="6">
    <w:nsid w:val="00000005"/>
    <w:multiLevelType w:val="multilevel"/>
    <w:tmpl w:val="00000005"/>
    <w:lvl w:ilvl="0" w:tentative="0">
      <w:start w:val="1"/>
      <w:numFmt w:val="decimal"/>
      <w:lvlText w:val="%1."/>
      <w:lvlJc w:val="left"/>
      <w:pPr>
        <w:tabs>
          <w:tab w:val="left" w:pos="0"/>
        </w:tabs>
        <w:ind w:left="0" w:firstLine="420"/>
      </w:pPr>
      <w:rPr>
        <w:rFonts w:hint="default"/>
        <w:color w:val="auto"/>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3387DFE"/>
    <w:multiLevelType w:val="multilevel"/>
    <w:tmpl w:val="13387DFE"/>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color w:val="auto"/>
      </w:rPr>
    </w:lvl>
    <w:lvl w:ilvl="2" w:tentative="0">
      <w:start w:val="1"/>
      <w:numFmt w:val="decimal"/>
      <w:lvlText w:val="%1.%2.%3."/>
      <w:lvlJc w:val="left"/>
      <w:pPr>
        <w:tabs>
          <w:tab w:val="left" w:pos="794"/>
        </w:tabs>
        <w:ind w:left="794" w:hanging="794"/>
      </w:pPr>
      <w:rPr>
        <w:rFonts w:hint="eastAsia" w:ascii="宋体" w:hAnsi="宋体" w:eastAsia="宋体"/>
      </w:rPr>
    </w:lvl>
    <w:lvl w:ilvl="3" w:tentative="0">
      <w:start w:val="1"/>
      <w:numFmt w:val="decimal"/>
      <w:lvlText w:val="%1.%2.%3.%4."/>
      <w:lvlJc w:val="left"/>
      <w:pPr>
        <w:tabs>
          <w:tab w:val="left" w:pos="454"/>
        </w:tabs>
        <w:ind w:left="1021" w:hanging="1021"/>
      </w:pPr>
      <w:rPr>
        <w:rFonts w:hint="eastAsia" w:ascii="宋体" w:hAnsi="宋体" w:eastAsia="宋体"/>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8">
    <w:nsid w:val="206CABF7"/>
    <w:multiLevelType w:val="singleLevel"/>
    <w:tmpl w:val="206CABF7"/>
    <w:lvl w:ilvl="0" w:tentative="0">
      <w:start w:val="1"/>
      <w:numFmt w:val="decimal"/>
      <w:suff w:val="nothing"/>
      <w:lvlText w:val="（%1）"/>
      <w:lvlJc w:val="left"/>
    </w:lvl>
  </w:abstractNum>
  <w:abstractNum w:abstractNumId="9">
    <w:nsid w:val="3F88662E"/>
    <w:multiLevelType w:val="singleLevel"/>
    <w:tmpl w:val="3F88662E"/>
    <w:lvl w:ilvl="0" w:tentative="0">
      <w:start w:val="1"/>
      <w:numFmt w:val="decimal"/>
      <w:suff w:val="space"/>
      <w:lvlText w:val="%1)"/>
      <w:lvlJc w:val="left"/>
    </w:lvl>
  </w:abstractNum>
  <w:abstractNum w:abstractNumId="10">
    <w:nsid w:val="580745EB"/>
    <w:multiLevelType w:val="multilevel"/>
    <w:tmpl w:val="580745E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C183DB0"/>
    <w:multiLevelType w:val="multilevel"/>
    <w:tmpl w:val="5C183DB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7"/>
  </w:num>
  <w:num w:numId="3">
    <w:abstractNumId w:val="9"/>
  </w:num>
  <w:num w:numId="4">
    <w:abstractNumId w:val="8"/>
  </w:num>
  <w:num w:numId="5">
    <w:abstractNumId w:val="4"/>
  </w:num>
  <w:num w:numId="6">
    <w:abstractNumId w:val="5"/>
  </w:num>
  <w:num w:numId="7">
    <w:abstractNumId w:val="1"/>
  </w:num>
  <w:num w:numId="8">
    <w:abstractNumId w:val="2"/>
  </w:num>
  <w:num w:numId="9">
    <w:abstractNumId w:val="6"/>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6B"/>
    <w:rsid w:val="00006462"/>
    <w:rsid w:val="000300E4"/>
    <w:rsid w:val="0003307E"/>
    <w:rsid w:val="000336BA"/>
    <w:rsid w:val="000359A1"/>
    <w:rsid w:val="0007500F"/>
    <w:rsid w:val="0008282E"/>
    <w:rsid w:val="000A363F"/>
    <w:rsid w:val="000A42A8"/>
    <w:rsid w:val="000A5063"/>
    <w:rsid w:val="000A5DBD"/>
    <w:rsid w:val="000C4524"/>
    <w:rsid w:val="000D44A6"/>
    <w:rsid w:val="000D5273"/>
    <w:rsid w:val="000F09D9"/>
    <w:rsid w:val="000F0E98"/>
    <w:rsid w:val="001049A5"/>
    <w:rsid w:val="001242F3"/>
    <w:rsid w:val="00134CAD"/>
    <w:rsid w:val="0013730B"/>
    <w:rsid w:val="00137853"/>
    <w:rsid w:val="00137E1C"/>
    <w:rsid w:val="00147012"/>
    <w:rsid w:val="00173126"/>
    <w:rsid w:val="00173905"/>
    <w:rsid w:val="00173E04"/>
    <w:rsid w:val="00175D29"/>
    <w:rsid w:val="001844F4"/>
    <w:rsid w:val="00185039"/>
    <w:rsid w:val="001A06D8"/>
    <w:rsid w:val="001A2D42"/>
    <w:rsid w:val="001A2EF7"/>
    <w:rsid w:val="001B41CF"/>
    <w:rsid w:val="001B5860"/>
    <w:rsid w:val="001C1135"/>
    <w:rsid w:val="001C15AE"/>
    <w:rsid w:val="001C4661"/>
    <w:rsid w:val="001C5689"/>
    <w:rsid w:val="001C6E4B"/>
    <w:rsid w:val="001F0070"/>
    <w:rsid w:val="001F4B02"/>
    <w:rsid w:val="002065A7"/>
    <w:rsid w:val="0021149E"/>
    <w:rsid w:val="00213021"/>
    <w:rsid w:val="00216BE9"/>
    <w:rsid w:val="0022503E"/>
    <w:rsid w:val="00225BB4"/>
    <w:rsid w:val="00226313"/>
    <w:rsid w:val="00240F5F"/>
    <w:rsid w:val="00244C00"/>
    <w:rsid w:val="00247AE0"/>
    <w:rsid w:val="002504F8"/>
    <w:rsid w:val="00260AC1"/>
    <w:rsid w:val="0026312D"/>
    <w:rsid w:val="0027078E"/>
    <w:rsid w:val="00284156"/>
    <w:rsid w:val="00285643"/>
    <w:rsid w:val="002867A1"/>
    <w:rsid w:val="002901F8"/>
    <w:rsid w:val="002A540A"/>
    <w:rsid w:val="002B4087"/>
    <w:rsid w:val="002B5F6C"/>
    <w:rsid w:val="002C165E"/>
    <w:rsid w:val="002C6C78"/>
    <w:rsid w:val="002D1594"/>
    <w:rsid w:val="002D3F9C"/>
    <w:rsid w:val="002D503C"/>
    <w:rsid w:val="002D7E27"/>
    <w:rsid w:val="002E17E5"/>
    <w:rsid w:val="002E6B7E"/>
    <w:rsid w:val="0030669E"/>
    <w:rsid w:val="00320CEA"/>
    <w:rsid w:val="00323B43"/>
    <w:rsid w:val="00326831"/>
    <w:rsid w:val="003274CE"/>
    <w:rsid w:val="003430F6"/>
    <w:rsid w:val="0038564C"/>
    <w:rsid w:val="00393B1D"/>
    <w:rsid w:val="003A1D97"/>
    <w:rsid w:val="003C3B19"/>
    <w:rsid w:val="003C412B"/>
    <w:rsid w:val="003C415C"/>
    <w:rsid w:val="003D36FB"/>
    <w:rsid w:val="003D37D8"/>
    <w:rsid w:val="003E2B8C"/>
    <w:rsid w:val="003F4822"/>
    <w:rsid w:val="00401CC0"/>
    <w:rsid w:val="00410F11"/>
    <w:rsid w:val="004203B9"/>
    <w:rsid w:val="00421BCF"/>
    <w:rsid w:val="004322A2"/>
    <w:rsid w:val="004358AB"/>
    <w:rsid w:val="00451EB4"/>
    <w:rsid w:val="00460B31"/>
    <w:rsid w:val="00462105"/>
    <w:rsid w:val="00475A80"/>
    <w:rsid w:val="00490B9E"/>
    <w:rsid w:val="00497577"/>
    <w:rsid w:val="004A05D7"/>
    <w:rsid w:val="004A2B28"/>
    <w:rsid w:val="004A69F1"/>
    <w:rsid w:val="004B3550"/>
    <w:rsid w:val="004D51A2"/>
    <w:rsid w:val="004D5AFB"/>
    <w:rsid w:val="004E04FD"/>
    <w:rsid w:val="004F1BB7"/>
    <w:rsid w:val="0050759C"/>
    <w:rsid w:val="005269A9"/>
    <w:rsid w:val="00546A42"/>
    <w:rsid w:val="0055408D"/>
    <w:rsid w:val="0057492D"/>
    <w:rsid w:val="00590819"/>
    <w:rsid w:val="00593D68"/>
    <w:rsid w:val="005A208B"/>
    <w:rsid w:val="005A7612"/>
    <w:rsid w:val="005C702E"/>
    <w:rsid w:val="005D01B8"/>
    <w:rsid w:val="005D066B"/>
    <w:rsid w:val="005F573A"/>
    <w:rsid w:val="005F7EB1"/>
    <w:rsid w:val="00604B81"/>
    <w:rsid w:val="00613417"/>
    <w:rsid w:val="0061545F"/>
    <w:rsid w:val="006175DE"/>
    <w:rsid w:val="006215AC"/>
    <w:rsid w:val="00621821"/>
    <w:rsid w:val="00622362"/>
    <w:rsid w:val="00622497"/>
    <w:rsid w:val="006276AD"/>
    <w:rsid w:val="006378D4"/>
    <w:rsid w:val="0064416A"/>
    <w:rsid w:val="0065365D"/>
    <w:rsid w:val="0065543F"/>
    <w:rsid w:val="00664F6B"/>
    <w:rsid w:val="006731D2"/>
    <w:rsid w:val="00682986"/>
    <w:rsid w:val="006913C9"/>
    <w:rsid w:val="00691701"/>
    <w:rsid w:val="00691AE0"/>
    <w:rsid w:val="0069491E"/>
    <w:rsid w:val="006B7878"/>
    <w:rsid w:val="006C14BD"/>
    <w:rsid w:val="006C28E5"/>
    <w:rsid w:val="006D1BA8"/>
    <w:rsid w:val="006D393E"/>
    <w:rsid w:val="006D4AD8"/>
    <w:rsid w:val="006E0B58"/>
    <w:rsid w:val="006E0C4B"/>
    <w:rsid w:val="007110BA"/>
    <w:rsid w:val="00711465"/>
    <w:rsid w:val="0072310A"/>
    <w:rsid w:val="00723B11"/>
    <w:rsid w:val="007343A7"/>
    <w:rsid w:val="00734BB2"/>
    <w:rsid w:val="0075028E"/>
    <w:rsid w:val="007608B9"/>
    <w:rsid w:val="00761AAB"/>
    <w:rsid w:val="007724B4"/>
    <w:rsid w:val="007818FB"/>
    <w:rsid w:val="007916E7"/>
    <w:rsid w:val="00797C5D"/>
    <w:rsid w:val="00797D2F"/>
    <w:rsid w:val="007A34B9"/>
    <w:rsid w:val="007A6F47"/>
    <w:rsid w:val="007C4F46"/>
    <w:rsid w:val="007C7297"/>
    <w:rsid w:val="007D1B4F"/>
    <w:rsid w:val="007D2F9E"/>
    <w:rsid w:val="007D3175"/>
    <w:rsid w:val="007D48BF"/>
    <w:rsid w:val="007D5C45"/>
    <w:rsid w:val="007E2543"/>
    <w:rsid w:val="007E4A26"/>
    <w:rsid w:val="007F01B0"/>
    <w:rsid w:val="007F2CD8"/>
    <w:rsid w:val="007F4DC5"/>
    <w:rsid w:val="00806380"/>
    <w:rsid w:val="0081104F"/>
    <w:rsid w:val="00822299"/>
    <w:rsid w:val="00833E43"/>
    <w:rsid w:val="0083486A"/>
    <w:rsid w:val="00841378"/>
    <w:rsid w:val="00842B87"/>
    <w:rsid w:val="00845BEB"/>
    <w:rsid w:val="008472E6"/>
    <w:rsid w:val="00853463"/>
    <w:rsid w:val="0086026F"/>
    <w:rsid w:val="008640F5"/>
    <w:rsid w:val="008907DA"/>
    <w:rsid w:val="008A0587"/>
    <w:rsid w:val="008B7726"/>
    <w:rsid w:val="008D429E"/>
    <w:rsid w:val="008D5A10"/>
    <w:rsid w:val="008E319F"/>
    <w:rsid w:val="008E619C"/>
    <w:rsid w:val="008F6E0E"/>
    <w:rsid w:val="008F79E1"/>
    <w:rsid w:val="00906F49"/>
    <w:rsid w:val="00914604"/>
    <w:rsid w:val="00923533"/>
    <w:rsid w:val="00930A38"/>
    <w:rsid w:val="00934170"/>
    <w:rsid w:val="00942948"/>
    <w:rsid w:val="009474B5"/>
    <w:rsid w:val="00972D86"/>
    <w:rsid w:val="009736BF"/>
    <w:rsid w:val="0097392B"/>
    <w:rsid w:val="00976066"/>
    <w:rsid w:val="00980A66"/>
    <w:rsid w:val="009904F7"/>
    <w:rsid w:val="009910F6"/>
    <w:rsid w:val="009A7058"/>
    <w:rsid w:val="009C6AD9"/>
    <w:rsid w:val="009D55C3"/>
    <w:rsid w:val="009E398C"/>
    <w:rsid w:val="009E6F05"/>
    <w:rsid w:val="00A10906"/>
    <w:rsid w:val="00A14EEF"/>
    <w:rsid w:val="00A25E78"/>
    <w:rsid w:val="00A61230"/>
    <w:rsid w:val="00A813C5"/>
    <w:rsid w:val="00A824E6"/>
    <w:rsid w:val="00A858DC"/>
    <w:rsid w:val="00A94D14"/>
    <w:rsid w:val="00AB19CE"/>
    <w:rsid w:val="00AB3969"/>
    <w:rsid w:val="00AC187B"/>
    <w:rsid w:val="00AC5C21"/>
    <w:rsid w:val="00AE310E"/>
    <w:rsid w:val="00AE4FC5"/>
    <w:rsid w:val="00AF5F1F"/>
    <w:rsid w:val="00B027A4"/>
    <w:rsid w:val="00B236B3"/>
    <w:rsid w:val="00B26534"/>
    <w:rsid w:val="00B26806"/>
    <w:rsid w:val="00B31B24"/>
    <w:rsid w:val="00B4287F"/>
    <w:rsid w:val="00B4315F"/>
    <w:rsid w:val="00B60DAB"/>
    <w:rsid w:val="00B7194E"/>
    <w:rsid w:val="00B763B0"/>
    <w:rsid w:val="00B93045"/>
    <w:rsid w:val="00BA4130"/>
    <w:rsid w:val="00BB2CAF"/>
    <w:rsid w:val="00BC3E74"/>
    <w:rsid w:val="00BD630F"/>
    <w:rsid w:val="00BD7C1B"/>
    <w:rsid w:val="00BF17FD"/>
    <w:rsid w:val="00BF41D4"/>
    <w:rsid w:val="00BF5AFB"/>
    <w:rsid w:val="00C16734"/>
    <w:rsid w:val="00C17B47"/>
    <w:rsid w:val="00C25C77"/>
    <w:rsid w:val="00C303E7"/>
    <w:rsid w:val="00C319C2"/>
    <w:rsid w:val="00C62E44"/>
    <w:rsid w:val="00C63BD8"/>
    <w:rsid w:val="00C65954"/>
    <w:rsid w:val="00C7126B"/>
    <w:rsid w:val="00C72C24"/>
    <w:rsid w:val="00C73468"/>
    <w:rsid w:val="00C80EC4"/>
    <w:rsid w:val="00C8568E"/>
    <w:rsid w:val="00CC584A"/>
    <w:rsid w:val="00CC5E4E"/>
    <w:rsid w:val="00CD0EAB"/>
    <w:rsid w:val="00CE2AF3"/>
    <w:rsid w:val="00CE621D"/>
    <w:rsid w:val="00CE66E8"/>
    <w:rsid w:val="00D05388"/>
    <w:rsid w:val="00D114CD"/>
    <w:rsid w:val="00D14476"/>
    <w:rsid w:val="00D232FF"/>
    <w:rsid w:val="00D279AA"/>
    <w:rsid w:val="00D34544"/>
    <w:rsid w:val="00D44A97"/>
    <w:rsid w:val="00D45C0C"/>
    <w:rsid w:val="00D508A5"/>
    <w:rsid w:val="00D5104B"/>
    <w:rsid w:val="00D555D8"/>
    <w:rsid w:val="00D60778"/>
    <w:rsid w:val="00D64D28"/>
    <w:rsid w:val="00D6604D"/>
    <w:rsid w:val="00D677F1"/>
    <w:rsid w:val="00D74601"/>
    <w:rsid w:val="00D83E46"/>
    <w:rsid w:val="00D847B6"/>
    <w:rsid w:val="00DA6169"/>
    <w:rsid w:val="00DB5480"/>
    <w:rsid w:val="00DB6317"/>
    <w:rsid w:val="00DC5AD9"/>
    <w:rsid w:val="00DC691F"/>
    <w:rsid w:val="00DD02DE"/>
    <w:rsid w:val="00DD07B7"/>
    <w:rsid w:val="00DD113C"/>
    <w:rsid w:val="00DE0BEB"/>
    <w:rsid w:val="00DE4856"/>
    <w:rsid w:val="00DF485B"/>
    <w:rsid w:val="00E21B77"/>
    <w:rsid w:val="00E40CAD"/>
    <w:rsid w:val="00E44530"/>
    <w:rsid w:val="00E61D2E"/>
    <w:rsid w:val="00E62B7F"/>
    <w:rsid w:val="00E726BC"/>
    <w:rsid w:val="00E72821"/>
    <w:rsid w:val="00E81DDC"/>
    <w:rsid w:val="00E81F67"/>
    <w:rsid w:val="00E83650"/>
    <w:rsid w:val="00E83A31"/>
    <w:rsid w:val="00E93E51"/>
    <w:rsid w:val="00E97CC0"/>
    <w:rsid w:val="00EA2524"/>
    <w:rsid w:val="00EC092D"/>
    <w:rsid w:val="00EC0DF8"/>
    <w:rsid w:val="00ED378B"/>
    <w:rsid w:val="00EE08F9"/>
    <w:rsid w:val="00EE5B3F"/>
    <w:rsid w:val="00EF728A"/>
    <w:rsid w:val="00EF7D0D"/>
    <w:rsid w:val="00F00FF7"/>
    <w:rsid w:val="00F02093"/>
    <w:rsid w:val="00F068E3"/>
    <w:rsid w:val="00F10B5F"/>
    <w:rsid w:val="00F218C1"/>
    <w:rsid w:val="00F321EB"/>
    <w:rsid w:val="00F346CF"/>
    <w:rsid w:val="00F3610C"/>
    <w:rsid w:val="00F52A5F"/>
    <w:rsid w:val="00F55954"/>
    <w:rsid w:val="00F61962"/>
    <w:rsid w:val="00F62865"/>
    <w:rsid w:val="00F64022"/>
    <w:rsid w:val="00F64660"/>
    <w:rsid w:val="00F97062"/>
    <w:rsid w:val="00F9745D"/>
    <w:rsid w:val="00FC7B53"/>
    <w:rsid w:val="00FD48CC"/>
    <w:rsid w:val="00FE62D1"/>
    <w:rsid w:val="00FF26BF"/>
    <w:rsid w:val="018023CE"/>
    <w:rsid w:val="01881AD6"/>
    <w:rsid w:val="01B938AA"/>
    <w:rsid w:val="021832B7"/>
    <w:rsid w:val="024E2E49"/>
    <w:rsid w:val="02A741FD"/>
    <w:rsid w:val="02C16E5D"/>
    <w:rsid w:val="02D964CF"/>
    <w:rsid w:val="03707410"/>
    <w:rsid w:val="037F03E3"/>
    <w:rsid w:val="03A0770F"/>
    <w:rsid w:val="03A27BF9"/>
    <w:rsid w:val="03A448B8"/>
    <w:rsid w:val="03AD071E"/>
    <w:rsid w:val="04DF1036"/>
    <w:rsid w:val="05A97DEC"/>
    <w:rsid w:val="05C81981"/>
    <w:rsid w:val="06BC41F2"/>
    <w:rsid w:val="07197D08"/>
    <w:rsid w:val="071C2CFD"/>
    <w:rsid w:val="071E5C55"/>
    <w:rsid w:val="073F7319"/>
    <w:rsid w:val="07595F41"/>
    <w:rsid w:val="07615EC0"/>
    <w:rsid w:val="077005AB"/>
    <w:rsid w:val="078F4581"/>
    <w:rsid w:val="07995C5E"/>
    <w:rsid w:val="07BE179A"/>
    <w:rsid w:val="07BF027F"/>
    <w:rsid w:val="08031A31"/>
    <w:rsid w:val="081A5CC7"/>
    <w:rsid w:val="08A276E5"/>
    <w:rsid w:val="09061A75"/>
    <w:rsid w:val="09182241"/>
    <w:rsid w:val="093C069F"/>
    <w:rsid w:val="095A10EE"/>
    <w:rsid w:val="09855177"/>
    <w:rsid w:val="09F1637C"/>
    <w:rsid w:val="0A25628F"/>
    <w:rsid w:val="0AA534D5"/>
    <w:rsid w:val="0AA650EB"/>
    <w:rsid w:val="0AB8066A"/>
    <w:rsid w:val="0AF47339"/>
    <w:rsid w:val="0B22594B"/>
    <w:rsid w:val="0BC044BE"/>
    <w:rsid w:val="0BDF26F7"/>
    <w:rsid w:val="0C264099"/>
    <w:rsid w:val="0C2B4952"/>
    <w:rsid w:val="0C7B2220"/>
    <w:rsid w:val="0D890E47"/>
    <w:rsid w:val="0DC64A00"/>
    <w:rsid w:val="0DFC60BA"/>
    <w:rsid w:val="0E4249F1"/>
    <w:rsid w:val="0F7C5FF6"/>
    <w:rsid w:val="0FC63FBD"/>
    <w:rsid w:val="106C564D"/>
    <w:rsid w:val="107B7B8F"/>
    <w:rsid w:val="107C67CE"/>
    <w:rsid w:val="109D68CB"/>
    <w:rsid w:val="10A949B8"/>
    <w:rsid w:val="11181433"/>
    <w:rsid w:val="11200D07"/>
    <w:rsid w:val="11DA73AF"/>
    <w:rsid w:val="12C60D80"/>
    <w:rsid w:val="131F7A3A"/>
    <w:rsid w:val="132645D0"/>
    <w:rsid w:val="13455ABC"/>
    <w:rsid w:val="1370322B"/>
    <w:rsid w:val="13B27845"/>
    <w:rsid w:val="141A03E1"/>
    <w:rsid w:val="143B2E0B"/>
    <w:rsid w:val="14672B11"/>
    <w:rsid w:val="14892735"/>
    <w:rsid w:val="14CC769D"/>
    <w:rsid w:val="15657AEA"/>
    <w:rsid w:val="15D359D7"/>
    <w:rsid w:val="15D81E0F"/>
    <w:rsid w:val="163C77BE"/>
    <w:rsid w:val="1679588C"/>
    <w:rsid w:val="16994962"/>
    <w:rsid w:val="16A71041"/>
    <w:rsid w:val="16AA24BF"/>
    <w:rsid w:val="16F72341"/>
    <w:rsid w:val="17680CAB"/>
    <w:rsid w:val="176E4128"/>
    <w:rsid w:val="1783371F"/>
    <w:rsid w:val="17E62B67"/>
    <w:rsid w:val="180F4499"/>
    <w:rsid w:val="18221ECE"/>
    <w:rsid w:val="18EA5542"/>
    <w:rsid w:val="19A2789F"/>
    <w:rsid w:val="1A460CF5"/>
    <w:rsid w:val="1A7F297D"/>
    <w:rsid w:val="1AB16AC1"/>
    <w:rsid w:val="1B034A52"/>
    <w:rsid w:val="1B1F34AD"/>
    <w:rsid w:val="1B8D5DC6"/>
    <w:rsid w:val="1C2775EC"/>
    <w:rsid w:val="1C750ECE"/>
    <w:rsid w:val="1D0836D7"/>
    <w:rsid w:val="1D196139"/>
    <w:rsid w:val="1DB85900"/>
    <w:rsid w:val="1E010AF7"/>
    <w:rsid w:val="1E0178EB"/>
    <w:rsid w:val="1E301173"/>
    <w:rsid w:val="1EA40BB4"/>
    <w:rsid w:val="1F43381C"/>
    <w:rsid w:val="1FA4148D"/>
    <w:rsid w:val="20121621"/>
    <w:rsid w:val="201A421D"/>
    <w:rsid w:val="204E554F"/>
    <w:rsid w:val="20590035"/>
    <w:rsid w:val="20FC799E"/>
    <w:rsid w:val="21BB336B"/>
    <w:rsid w:val="22154DDD"/>
    <w:rsid w:val="22213E42"/>
    <w:rsid w:val="22336873"/>
    <w:rsid w:val="238C2182"/>
    <w:rsid w:val="23BB4E7D"/>
    <w:rsid w:val="23C172D6"/>
    <w:rsid w:val="23F04F64"/>
    <w:rsid w:val="24814CBE"/>
    <w:rsid w:val="24AC168B"/>
    <w:rsid w:val="258C3BEC"/>
    <w:rsid w:val="260E3862"/>
    <w:rsid w:val="262D1ECC"/>
    <w:rsid w:val="26F56CE2"/>
    <w:rsid w:val="27A34F71"/>
    <w:rsid w:val="27B36A67"/>
    <w:rsid w:val="27EB0D9B"/>
    <w:rsid w:val="286602C8"/>
    <w:rsid w:val="28665C95"/>
    <w:rsid w:val="290B3EB9"/>
    <w:rsid w:val="291418C2"/>
    <w:rsid w:val="2950768C"/>
    <w:rsid w:val="297A5FC4"/>
    <w:rsid w:val="29A840BD"/>
    <w:rsid w:val="2A8D4F8F"/>
    <w:rsid w:val="2A911082"/>
    <w:rsid w:val="2A917B34"/>
    <w:rsid w:val="2AE3766F"/>
    <w:rsid w:val="2B7E4054"/>
    <w:rsid w:val="2BF22742"/>
    <w:rsid w:val="2C987C56"/>
    <w:rsid w:val="2CFF149A"/>
    <w:rsid w:val="2D201865"/>
    <w:rsid w:val="2D4B5CEA"/>
    <w:rsid w:val="2D652658"/>
    <w:rsid w:val="2DC80C49"/>
    <w:rsid w:val="2DCA6355"/>
    <w:rsid w:val="2DF0699F"/>
    <w:rsid w:val="2E166748"/>
    <w:rsid w:val="2E556F01"/>
    <w:rsid w:val="2E8E20B4"/>
    <w:rsid w:val="2ED06066"/>
    <w:rsid w:val="2ED1223D"/>
    <w:rsid w:val="2EE470F7"/>
    <w:rsid w:val="2F000139"/>
    <w:rsid w:val="2F561B8A"/>
    <w:rsid w:val="2F9F42DC"/>
    <w:rsid w:val="2FF37AB3"/>
    <w:rsid w:val="30FF27D2"/>
    <w:rsid w:val="31170995"/>
    <w:rsid w:val="31264A30"/>
    <w:rsid w:val="31884E67"/>
    <w:rsid w:val="31A0275E"/>
    <w:rsid w:val="31ED6B08"/>
    <w:rsid w:val="328464CE"/>
    <w:rsid w:val="32AB70C5"/>
    <w:rsid w:val="32DC33E0"/>
    <w:rsid w:val="335D0AF5"/>
    <w:rsid w:val="3370088C"/>
    <w:rsid w:val="33A3154A"/>
    <w:rsid w:val="33DC2F78"/>
    <w:rsid w:val="3428227C"/>
    <w:rsid w:val="34F731E2"/>
    <w:rsid w:val="35260F83"/>
    <w:rsid w:val="35602226"/>
    <w:rsid w:val="356B72E7"/>
    <w:rsid w:val="3572424F"/>
    <w:rsid w:val="35ED6EF7"/>
    <w:rsid w:val="35FC3844"/>
    <w:rsid w:val="36AD519D"/>
    <w:rsid w:val="36B57705"/>
    <w:rsid w:val="37A103ED"/>
    <w:rsid w:val="37EA5E6E"/>
    <w:rsid w:val="37FF016F"/>
    <w:rsid w:val="38427C0B"/>
    <w:rsid w:val="387C5ABE"/>
    <w:rsid w:val="389B3A1E"/>
    <w:rsid w:val="38EB6119"/>
    <w:rsid w:val="39FE0BE9"/>
    <w:rsid w:val="3A3C1AAF"/>
    <w:rsid w:val="3A51228C"/>
    <w:rsid w:val="3A552E60"/>
    <w:rsid w:val="3A5D642F"/>
    <w:rsid w:val="3AB210FC"/>
    <w:rsid w:val="3AD95C13"/>
    <w:rsid w:val="3B261E51"/>
    <w:rsid w:val="3BCD72F7"/>
    <w:rsid w:val="3C414142"/>
    <w:rsid w:val="3CF737A2"/>
    <w:rsid w:val="3D081EA3"/>
    <w:rsid w:val="3D10295A"/>
    <w:rsid w:val="3E0572FD"/>
    <w:rsid w:val="3E1A5292"/>
    <w:rsid w:val="3E5A7FE7"/>
    <w:rsid w:val="3EC8179E"/>
    <w:rsid w:val="3EF66B2E"/>
    <w:rsid w:val="3F217914"/>
    <w:rsid w:val="3FD70BB0"/>
    <w:rsid w:val="3FFB55AC"/>
    <w:rsid w:val="401C5F9D"/>
    <w:rsid w:val="401C690C"/>
    <w:rsid w:val="401D7195"/>
    <w:rsid w:val="40CE3DC0"/>
    <w:rsid w:val="40CF55F6"/>
    <w:rsid w:val="40D7455A"/>
    <w:rsid w:val="40E743E5"/>
    <w:rsid w:val="41734CBA"/>
    <w:rsid w:val="41DD7057"/>
    <w:rsid w:val="420F7A65"/>
    <w:rsid w:val="4216611A"/>
    <w:rsid w:val="423E300F"/>
    <w:rsid w:val="425656C8"/>
    <w:rsid w:val="4257273C"/>
    <w:rsid w:val="42677B61"/>
    <w:rsid w:val="42756DB0"/>
    <w:rsid w:val="42B21AD2"/>
    <w:rsid w:val="42FD694D"/>
    <w:rsid w:val="43FA5777"/>
    <w:rsid w:val="44044D92"/>
    <w:rsid w:val="441C1611"/>
    <w:rsid w:val="443C440B"/>
    <w:rsid w:val="443F7DBF"/>
    <w:rsid w:val="44514F52"/>
    <w:rsid w:val="448965CB"/>
    <w:rsid w:val="44FA2D53"/>
    <w:rsid w:val="4571374F"/>
    <w:rsid w:val="458B1BB0"/>
    <w:rsid w:val="4611075B"/>
    <w:rsid w:val="46214818"/>
    <w:rsid w:val="46501BEF"/>
    <w:rsid w:val="467A0297"/>
    <w:rsid w:val="468B7125"/>
    <w:rsid w:val="46C4691F"/>
    <w:rsid w:val="479D1D34"/>
    <w:rsid w:val="47B609C0"/>
    <w:rsid w:val="482D31EA"/>
    <w:rsid w:val="485970A0"/>
    <w:rsid w:val="48B65C71"/>
    <w:rsid w:val="48F303D7"/>
    <w:rsid w:val="492837FF"/>
    <w:rsid w:val="492E6A57"/>
    <w:rsid w:val="49705D78"/>
    <w:rsid w:val="4A0030EE"/>
    <w:rsid w:val="4AC36065"/>
    <w:rsid w:val="4B7501F5"/>
    <w:rsid w:val="4B8C2DEB"/>
    <w:rsid w:val="4BFA3C9F"/>
    <w:rsid w:val="4C0E3379"/>
    <w:rsid w:val="4C107F48"/>
    <w:rsid w:val="4C3277BC"/>
    <w:rsid w:val="4CC353EB"/>
    <w:rsid w:val="4CF36F3C"/>
    <w:rsid w:val="4D4F67BA"/>
    <w:rsid w:val="4D603399"/>
    <w:rsid w:val="4D867EE1"/>
    <w:rsid w:val="4DBC4C65"/>
    <w:rsid w:val="4DF6568D"/>
    <w:rsid w:val="4E550010"/>
    <w:rsid w:val="4E5F14CB"/>
    <w:rsid w:val="4F3705F8"/>
    <w:rsid w:val="4FAC3540"/>
    <w:rsid w:val="4FBB12F4"/>
    <w:rsid w:val="4FCF1583"/>
    <w:rsid w:val="4FFA7625"/>
    <w:rsid w:val="501B0BF9"/>
    <w:rsid w:val="507D2599"/>
    <w:rsid w:val="5096229D"/>
    <w:rsid w:val="50DC4184"/>
    <w:rsid w:val="51475B39"/>
    <w:rsid w:val="514C3EA7"/>
    <w:rsid w:val="519849E5"/>
    <w:rsid w:val="51B36892"/>
    <w:rsid w:val="52506DA7"/>
    <w:rsid w:val="53247BAA"/>
    <w:rsid w:val="533B2B84"/>
    <w:rsid w:val="537A7243"/>
    <w:rsid w:val="539C1B81"/>
    <w:rsid w:val="53AE750F"/>
    <w:rsid w:val="53F263AD"/>
    <w:rsid w:val="549A6BFA"/>
    <w:rsid w:val="54E72921"/>
    <w:rsid w:val="55806F07"/>
    <w:rsid w:val="55FA2961"/>
    <w:rsid w:val="565E7F4F"/>
    <w:rsid w:val="56857D06"/>
    <w:rsid w:val="56914056"/>
    <w:rsid w:val="56DB613D"/>
    <w:rsid w:val="57FC2169"/>
    <w:rsid w:val="58096275"/>
    <w:rsid w:val="581C04F1"/>
    <w:rsid w:val="582E6EF7"/>
    <w:rsid w:val="58434392"/>
    <w:rsid w:val="584E30E6"/>
    <w:rsid w:val="58E1680B"/>
    <w:rsid w:val="59014D02"/>
    <w:rsid w:val="597B384D"/>
    <w:rsid w:val="59996DA8"/>
    <w:rsid w:val="59C30F1B"/>
    <w:rsid w:val="5A0D5854"/>
    <w:rsid w:val="5A20156F"/>
    <w:rsid w:val="5A2A5D6A"/>
    <w:rsid w:val="5A2B2DB6"/>
    <w:rsid w:val="5AC7121C"/>
    <w:rsid w:val="5AD90B8D"/>
    <w:rsid w:val="5AE12927"/>
    <w:rsid w:val="5B2243E9"/>
    <w:rsid w:val="5B4E1A44"/>
    <w:rsid w:val="5B666742"/>
    <w:rsid w:val="5B873201"/>
    <w:rsid w:val="5B89551D"/>
    <w:rsid w:val="5B967767"/>
    <w:rsid w:val="5B9E55DE"/>
    <w:rsid w:val="5BA046F3"/>
    <w:rsid w:val="5C286807"/>
    <w:rsid w:val="5C446BC8"/>
    <w:rsid w:val="5C4C687B"/>
    <w:rsid w:val="5C7C2768"/>
    <w:rsid w:val="5CB23AE6"/>
    <w:rsid w:val="5CF55792"/>
    <w:rsid w:val="5CFD533A"/>
    <w:rsid w:val="5D893B14"/>
    <w:rsid w:val="5E2B7D62"/>
    <w:rsid w:val="5EA06921"/>
    <w:rsid w:val="5ED5006A"/>
    <w:rsid w:val="5F576E4B"/>
    <w:rsid w:val="5F7A2C30"/>
    <w:rsid w:val="5FBE370A"/>
    <w:rsid w:val="60292845"/>
    <w:rsid w:val="612E1A5D"/>
    <w:rsid w:val="61816046"/>
    <w:rsid w:val="61F17B87"/>
    <w:rsid w:val="62391564"/>
    <w:rsid w:val="62816669"/>
    <w:rsid w:val="62BA0953"/>
    <w:rsid w:val="62D03A7C"/>
    <w:rsid w:val="62F16BCB"/>
    <w:rsid w:val="62F648FE"/>
    <w:rsid w:val="63A10995"/>
    <w:rsid w:val="63C23EFA"/>
    <w:rsid w:val="643A070A"/>
    <w:rsid w:val="644C573D"/>
    <w:rsid w:val="648667A7"/>
    <w:rsid w:val="64DB383A"/>
    <w:rsid w:val="65032F85"/>
    <w:rsid w:val="65136B50"/>
    <w:rsid w:val="657E2A35"/>
    <w:rsid w:val="65A94E9D"/>
    <w:rsid w:val="65C60A92"/>
    <w:rsid w:val="66DD6702"/>
    <w:rsid w:val="679406CB"/>
    <w:rsid w:val="68AD17BB"/>
    <w:rsid w:val="68D94D22"/>
    <w:rsid w:val="692B2E4A"/>
    <w:rsid w:val="694303FB"/>
    <w:rsid w:val="696A0B34"/>
    <w:rsid w:val="698D6A17"/>
    <w:rsid w:val="69EE3535"/>
    <w:rsid w:val="69F954C1"/>
    <w:rsid w:val="6A2031B6"/>
    <w:rsid w:val="6A440C53"/>
    <w:rsid w:val="6AC61F6F"/>
    <w:rsid w:val="6ADE74F0"/>
    <w:rsid w:val="6B1002C0"/>
    <w:rsid w:val="6B723594"/>
    <w:rsid w:val="6B805156"/>
    <w:rsid w:val="6BD50977"/>
    <w:rsid w:val="6BEA2A9B"/>
    <w:rsid w:val="6C9C0875"/>
    <w:rsid w:val="6CAA3931"/>
    <w:rsid w:val="6D3933CA"/>
    <w:rsid w:val="6D7B61EC"/>
    <w:rsid w:val="6DD049FF"/>
    <w:rsid w:val="6E09491E"/>
    <w:rsid w:val="6E0D3655"/>
    <w:rsid w:val="6E5F4465"/>
    <w:rsid w:val="6E8C54DA"/>
    <w:rsid w:val="6EF11E03"/>
    <w:rsid w:val="6F111C62"/>
    <w:rsid w:val="6F2176E5"/>
    <w:rsid w:val="6F3053CA"/>
    <w:rsid w:val="6F592303"/>
    <w:rsid w:val="6F5F5B74"/>
    <w:rsid w:val="6F833021"/>
    <w:rsid w:val="6F9B1C65"/>
    <w:rsid w:val="6FD47A25"/>
    <w:rsid w:val="6FFB146E"/>
    <w:rsid w:val="701A5C74"/>
    <w:rsid w:val="706516C3"/>
    <w:rsid w:val="70896E68"/>
    <w:rsid w:val="715B60E9"/>
    <w:rsid w:val="71EA1FED"/>
    <w:rsid w:val="72C16204"/>
    <w:rsid w:val="730313F6"/>
    <w:rsid w:val="73174F4F"/>
    <w:rsid w:val="731E1007"/>
    <w:rsid w:val="73370D24"/>
    <w:rsid w:val="7359268C"/>
    <w:rsid w:val="739503EB"/>
    <w:rsid w:val="73A05B28"/>
    <w:rsid w:val="73C07D69"/>
    <w:rsid w:val="74B42AE4"/>
    <w:rsid w:val="750A429D"/>
    <w:rsid w:val="755D38A7"/>
    <w:rsid w:val="75614792"/>
    <w:rsid w:val="75784473"/>
    <w:rsid w:val="757E044C"/>
    <w:rsid w:val="75977BC3"/>
    <w:rsid w:val="75B161B3"/>
    <w:rsid w:val="75E470E3"/>
    <w:rsid w:val="76736B32"/>
    <w:rsid w:val="76E3765E"/>
    <w:rsid w:val="76FC2AFA"/>
    <w:rsid w:val="77653671"/>
    <w:rsid w:val="778546CC"/>
    <w:rsid w:val="77B56730"/>
    <w:rsid w:val="77C04A8B"/>
    <w:rsid w:val="77D85DB3"/>
    <w:rsid w:val="780252A0"/>
    <w:rsid w:val="78027772"/>
    <w:rsid w:val="78A50513"/>
    <w:rsid w:val="796518DD"/>
    <w:rsid w:val="79AA0532"/>
    <w:rsid w:val="79FE1DDD"/>
    <w:rsid w:val="7A075767"/>
    <w:rsid w:val="7A212062"/>
    <w:rsid w:val="7A282A11"/>
    <w:rsid w:val="7AC21562"/>
    <w:rsid w:val="7AD474A4"/>
    <w:rsid w:val="7B5350AD"/>
    <w:rsid w:val="7B697C89"/>
    <w:rsid w:val="7B8D34C3"/>
    <w:rsid w:val="7B971D84"/>
    <w:rsid w:val="7BF32F03"/>
    <w:rsid w:val="7C1724A5"/>
    <w:rsid w:val="7C8E3CCF"/>
    <w:rsid w:val="7CA54112"/>
    <w:rsid w:val="7CE50CE4"/>
    <w:rsid w:val="7D2E5ABF"/>
    <w:rsid w:val="7E2142A2"/>
    <w:rsid w:val="7E5A6DFA"/>
    <w:rsid w:val="7E7B0BF2"/>
    <w:rsid w:val="7E876E3D"/>
    <w:rsid w:val="7E8D75B6"/>
    <w:rsid w:val="7EF760EE"/>
    <w:rsid w:val="7F2A2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qFormat="1" w:uiPriority="39"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5"/>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qFormat/>
    <w:uiPriority w:val="1"/>
    <w:pPr>
      <w:spacing w:before="161"/>
      <w:ind w:left="120"/>
    </w:pPr>
    <w:rPr>
      <w:rFonts w:ascii="宋体" w:hAnsi="宋体" w:eastAsia="宋体" w:cs="宋体"/>
      <w:sz w:val="24"/>
      <w:lang w:val="zh-CN" w:bidi="zh-CN"/>
    </w:rPr>
  </w:style>
  <w:style w:type="paragraph" w:styleId="7">
    <w:name w:val="toc 3"/>
    <w:basedOn w:val="1"/>
    <w:next w:val="1"/>
    <w:unhideWhenUsed/>
    <w:qFormat/>
    <w:uiPriority w:val="39"/>
    <w:pPr>
      <w:tabs>
        <w:tab w:val="right" w:leader="dot" w:pos="8296"/>
      </w:tabs>
      <w:ind w:left="838" w:leftChars="381"/>
    </w:pPr>
    <w:rPr>
      <w:sz w:val="21"/>
      <w:szCs w:val="21"/>
    </w:rPr>
  </w:style>
  <w:style w:type="paragraph" w:styleId="8">
    <w:name w:val="Plain Text"/>
    <w:basedOn w:val="1"/>
    <w:link w:val="36"/>
    <w:qFormat/>
    <w:uiPriority w:val="0"/>
    <w:pPr>
      <w:widowControl w:val="0"/>
      <w:adjustRightInd/>
      <w:snapToGrid/>
      <w:spacing w:after="0"/>
      <w:jc w:val="both"/>
    </w:pPr>
    <w:rPr>
      <w:rFonts w:ascii="宋体" w:hAnsi="Courier New" w:eastAsia="宋体" w:cs="Times New Roman"/>
      <w:b/>
      <w:kern w:val="2"/>
      <w:sz w:val="21"/>
      <w:szCs w:val="20"/>
    </w:rPr>
  </w:style>
  <w:style w:type="paragraph" w:styleId="9">
    <w:name w:val="Balloon Text"/>
    <w:basedOn w:val="1"/>
    <w:link w:val="39"/>
    <w:semiHidden/>
    <w:unhideWhenUsed/>
    <w:qFormat/>
    <w:uiPriority w:val="99"/>
    <w:pPr>
      <w:spacing w:after="0"/>
    </w:pPr>
    <w:rPr>
      <w:sz w:val="18"/>
      <w:szCs w:val="18"/>
    </w:rPr>
  </w:style>
  <w:style w:type="paragraph" w:styleId="10">
    <w:name w:val="footer"/>
    <w:basedOn w:val="1"/>
    <w:link w:val="38"/>
    <w:unhideWhenUsed/>
    <w:qFormat/>
    <w:uiPriority w:val="99"/>
    <w:pPr>
      <w:tabs>
        <w:tab w:val="center" w:pos="4153"/>
        <w:tab w:val="right" w:pos="8306"/>
      </w:tabs>
    </w:pPr>
    <w:rPr>
      <w:sz w:val="18"/>
      <w:szCs w:val="18"/>
    </w:rPr>
  </w:style>
  <w:style w:type="paragraph" w:styleId="11">
    <w:name w:val="header"/>
    <w:basedOn w:val="1"/>
    <w:link w:val="37"/>
    <w:unhideWhenUsed/>
    <w:qFormat/>
    <w:uiPriority w:val="99"/>
    <w:pPr>
      <w:pBdr>
        <w:bottom w:val="single" w:color="auto" w:sz="6" w:space="1"/>
      </w:pBdr>
      <w:tabs>
        <w:tab w:val="center" w:pos="4153"/>
        <w:tab w:val="right" w:pos="8306"/>
      </w:tabs>
      <w:jc w:val="center"/>
    </w:pPr>
    <w:rPr>
      <w:sz w:val="18"/>
      <w:szCs w:val="18"/>
    </w:rPr>
  </w:style>
  <w:style w:type="paragraph" w:styleId="12">
    <w:name w:val="toc 1"/>
    <w:basedOn w:val="1"/>
    <w:next w:val="1"/>
    <w:semiHidden/>
    <w:unhideWhenUsed/>
    <w:qFormat/>
    <w:uiPriority w:val="39"/>
  </w:style>
  <w:style w:type="paragraph" w:styleId="13">
    <w:name w:val="toc 4"/>
    <w:basedOn w:val="1"/>
    <w:next w:val="1"/>
    <w:unhideWhenUsed/>
    <w:qFormat/>
    <w:uiPriority w:val="39"/>
    <w:pPr>
      <w:tabs>
        <w:tab w:val="right" w:leader="dot" w:pos="8296"/>
      </w:tabs>
      <w:spacing w:after="120"/>
      <w:ind w:left="1320" w:leftChars="600"/>
    </w:pPr>
  </w:style>
  <w:style w:type="paragraph" w:styleId="14">
    <w:name w:val="toc 2"/>
    <w:basedOn w:val="1"/>
    <w:next w:val="1"/>
    <w:unhideWhenUsed/>
    <w:qFormat/>
    <w:uiPriority w:val="39"/>
    <w:pPr>
      <w:tabs>
        <w:tab w:val="right" w:leader="dot" w:pos="8296"/>
      </w:tabs>
      <w:spacing w:after="0" w:line="360" w:lineRule="auto"/>
      <w:ind w:left="440" w:leftChars="200"/>
      <w:jc w:val="center"/>
    </w:pPr>
    <w:rPr>
      <w:rFonts w:ascii="宋体" w:hAnsi="宋体" w:eastAsia="宋体"/>
      <w:sz w:val="30"/>
      <w:szCs w:val="30"/>
    </w:rPr>
  </w:style>
  <w:style w:type="paragraph" w:styleId="15">
    <w:name w:val="Normal (Web)"/>
    <w:basedOn w:val="1"/>
    <w:link w:val="41"/>
    <w:qFormat/>
    <w:uiPriority w:val="0"/>
    <w:pPr>
      <w:widowControl w:val="0"/>
      <w:adjustRightInd/>
      <w:snapToGrid/>
      <w:spacing w:after="0"/>
      <w:jc w:val="both"/>
    </w:pPr>
    <w:rPr>
      <w:rFonts w:eastAsia="宋体" w:asciiTheme="minorHAnsi" w:hAnsiTheme="minorHAnsi"/>
      <w:kern w:val="2"/>
      <w:sz w:val="24"/>
      <w:szCs w:val="2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333333"/>
      <w:u w:val="none"/>
    </w:rPr>
  </w:style>
  <w:style w:type="character" w:styleId="20">
    <w:name w:val="Emphasis"/>
    <w:basedOn w:val="18"/>
    <w:qFormat/>
    <w:uiPriority w:val="20"/>
    <w:rPr>
      <w:i/>
      <w:iCs/>
    </w:rPr>
  </w:style>
  <w:style w:type="character" w:styleId="21">
    <w:name w:val="Hyperlink"/>
    <w:qFormat/>
    <w:uiPriority w:val="99"/>
    <w:rPr>
      <w:rFonts w:hint="eastAsia" w:ascii="宋体" w:hAnsi="宋体" w:eastAsia="宋体" w:cs="宋体"/>
      <w:b/>
      <w:color w:val="0031C1"/>
      <w:kern w:val="0"/>
      <w:sz w:val="18"/>
      <w:szCs w:val="18"/>
      <w:u w:val="none"/>
      <w:lang w:eastAsia="en-US"/>
    </w:rPr>
  </w:style>
  <w:style w:type="character" w:customStyle="1" w:styleId="22">
    <w:name w:val="标题 2 字符"/>
    <w:basedOn w:val="18"/>
    <w:link w:val="2"/>
    <w:qFormat/>
    <w:uiPriority w:val="9"/>
    <w:rPr>
      <w:rFonts w:asciiTheme="majorHAnsi" w:hAnsiTheme="majorHAnsi" w:eastAsiaTheme="majorEastAsia" w:cstheme="majorBidi"/>
      <w:b/>
      <w:bCs/>
      <w:sz w:val="32"/>
      <w:szCs w:val="32"/>
    </w:rPr>
  </w:style>
  <w:style w:type="character" w:customStyle="1" w:styleId="23">
    <w:name w:val="标题 3 字符"/>
    <w:basedOn w:val="18"/>
    <w:link w:val="3"/>
    <w:qFormat/>
    <w:uiPriority w:val="9"/>
    <w:rPr>
      <w:rFonts w:ascii="Tahoma" w:hAnsi="Tahoma"/>
      <w:b/>
      <w:bCs/>
      <w:sz w:val="32"/>
      <w:szCs w:val="32"/>
    </w:rPr>
  </w:style>
  <w:style w:type="paragraph" w:styleId="24">
    <w:name w:val="List Paragraph"/>
    <w:basedOn w:val="1"/>
    <w:qFormat/>
    <w:uiPriority w:val="34"/>
    <w:pPr>
      <w:ind w:firstLine="420" w:firstLineChars="200"/>
    </w:pPr>
  </w:style>
  <w:style w:type="character" w:customStyle="1" w:styleId="25">
    <w:name w:val="标题 4 字符"/>
    <w:basedOn w:val="18"/>
    <w:link w:val="4"/>
    <w:qFormat/>
    <w:uiPriority w:val="9"/>
    <w:rPr>
      <w:rFonts w:asciiTheme="majorHAnsi" w:hAnsiTheme="majorHAnsi" w:eastAsiaTheme="majorEastAsia" w:cstheme="majorBidi"/>
      <w:b/>
      <w:bCs/>
      <w:sz w:val="28"/>
      <w:szCs w:val="28"/>
    </w:rPr>
  </w:style>
  <w:style w:type="character" w:customStyle="1" w:styleId="26">
    <w:name w:val="正文缩进2格 Char"/>
    <w:link w:val="27"/>
    <w:qFormat/>
    <w:uiPriority w:val="0"/>
    <w:rPr>
      <w:rFonts w:ascii="仿宋_GB2312" w:hAnsi="宋体" w:eastAsia="仿宋_GB2312"/>
      <w:kern w:val="2"/>
      <w:sz w:val="31"/>
    </w:rPr>
  </w:style>
  <w:style w:type="paragraph" w:customStyle="1" w:styleId="27">
    <w:name w:val="正文缩进2格"/>
    <w:basedOn w:val="1"/>
    <w:link w:val="26"/>
    <w:qFormat/>
    <w:uiPriority w:val="0"/>
    <w:pPr>
      <w:widowControl w:val="0"/>
      <w:adjustRightInd/>
      <w:snapToGrid/>
      <w:spacing w:after="0" w:line="600" w:lineRule="exact"/>
      <w:ind w:firstLine="639" w:firstLineChars="206"/>
      <w:jc w:val="both"/>
    </w:pPr>
    <w:rPr>
      <w:rFonts w:ascii="仿宋_GB2312" w:hAnsi="宋体" w:eastAsia="仿宋_GB2312"/>
      <w:kern w:val="2"/>
      <w:sz w:val="31"/>
    </w:rPr>
  </w:style>
  <w:style w:type="paragraph" w:customStyle="1" w:styleId="28">
    <w:name w:val="正文缩进4格"/>
    <w:basedOn w:val="27"/>
    <w:qFormat/>
    <w:uiPriority w:val="0"/>
    <w:pPr>
      <w:ind w:left="2" w:firstLine="538" w:firstLineChars="192"/>
    </w:pPr>
    <w:rPr>
      <w:color w:val="0000FF"/>
      <w:sz w:val="28"/>
    </w:rPr>
  </w:style>
  <w:style w:type="character" w:customStyle="1" w:styleId="29">
    <w:name w:val="正文缩进2格 Char Char"/>
    <w:qFormat/>
    <w:uiPriority w:val="0"/>
    <w:rPr>
      <w:rFonts w:ascii="仿宋_GB2312" w:hAnsi="宋体" w:eastAsia="仿宋_GB2312" w:cs="Times New Roman"/>
      <w:b/>
      <w:kern w:val="2"/>
      <w:sz w:val="31"/>
      <w:szCs w:val="28"/>
      <w:lang w:val="en-US" w:eastAsia="zh-CN" w:bidi="ar-SA"/>
    </w:rPr>
  </w:style>
  <w:style w:type="paragraph" w:customStyle="1" w:styleId="30">
    <w:name w:val="_Style 3"/>
    <w:basedOn w:val="1"/>
    <w:qFormat/>
    <w:uiPriority w:val="0"/>
    <w:pPr>
      <w:widowControl w:val="0"/>
      <w:adjustRightInd/>
      <w:snapToGrid/>
      <w:spacing w:after="0"/>
      <w:ind w:firstLine="420" w:firstLineChars="200"/>
      <w:jc w:val="both"/>
    </w:pPr>
    <w:rPr>
      <w:rFonts w:ascii="Times New Roman" w:hAnsi="Times New Roman" w:eastAsia="宋体" w:cs="Times New Roman"/>
      <w:kern w:val="2"/>
      <w:sz w:val="21"/>
      <w:szCs w:val="24"/>
    </w:rPr>
  </w:style>
  <w:style w:type="character" w:customStyle="1" w:styleId="31">
    <w:name w:val="标题1"/>
    <w:qFormat/>
    <w:uiPriority w:val="0"/>
    <w:rPr>
      <w:rFonts w:ascii="Times New Roman" w:hAnsi="Times New Roman" w:eastAsia="宋体" w:cs="Times New Roman"/>
      <w:b/>
      <w:kern w:val="0"/>
      <w:sz w:val="24"/>
      <w:szCs w:val="20"/>
      <w:lang w:eastAsia="en-US"/>
    </w:rPr>
  </w:style>
  <w:style w:type="character" w:customStyle="1" w:styleId="32">
    <w:name w:val="标题 3.1 Char"/>
    <w:link w:val="33"/>
    <w:qFormat/>
    <w:uiPriority w:val="0"/>
    <w:rPr>
      <w:rFonts w:ascii="宋体" w:hAnsi="宋体" w:eastAsia="宋体"/>
      <w:b/>
      <w:color w:val="FF0000"/>
      <w:kern w:val="2"/>
      <w:sz w:val="32"/>
    </w:rPr>
  </w:style>
  <w:style w:type="paragraph" w:customStyle="1" w:styleId="33">
    <w:name w:val="标题 3.1"/>
    <w:basedOn w:val="3"/>
    <w:link w:val="32"/>
    <w:qFormat/>
    <w:uiPriority w:val="0"/>
    <w:pPr>
      <w:widowControl w:val="0"/>
      <w:tabs>
        <w:tab w:val="left" w:pos="1440"/>
        <w:tab w:val="left" w:pos="1620"/>
      </w:tabs>
      <w:adjustRightInd/>
      <w:snapToGrid/>
      <w:spacing w:line="600" w:lineRule="exact"/>
      <w:jc w:val="both"/>
    </w:pPr>
    <w:rPr>
      <w:rFonts w:ascii="宋体" w:hAnsi="宋体" w:eastAsia="宋体"/>
      <w:bCs w:val="0"/>
      <w:color w:val="FF0000"/>
      <w:kern w:val="2"/>
      <w:szCs w:val="22"/>
    </w:rPr>
  </w:style>
  <w:style w:type="character" w:customStyle="1" w:styleId="34">
    <w:name w:val="样式 楷体_GB2312 小四"/>
    <w:qFormat/>
    <w:uiPriority w:val="0"/>
    <w:rPr>
      <w:rFonts w:ascii="楷体_GB2312" w:hAnsi="楷体_GB2312" w:eastAsia="仿宋_GB2312"/>
      <w:sz w:val="24"/>
    </w:rPr>
  </w:style>
  <w:style w:type="character" w:customStyle="1" w:styleId="35">
    <w:name w:val="纯文本 Char"/>
    <w:qFormat/>
    <w:uiPriority w:val="0"/>
    <w:rPr>
      <w:rFonts w:ascii="宋体" w:hAnsi="Courier New" w:eastAsia="宋体" w:cs="Times New Roman"/>
      <w:b/>
      <w:kern w:val="2"/>
      <w:sz w:val="21"/>
      <w:szCs w:val="20"/>
    </w:rPr>
  </w:style>
  <w:style w:type="character" w:customStyle="1" w:styleId="36">
    <w:name w:val="纯文本 字符"/>
    <w:basedOn w:val="18"/>
    <w:link w:val="8"/>
    <w:semiHidden/>
    <w:qFormat/>
    <w:uiPriority w:val="99"/>
    <w:rPr>
      <w:rFonts w:ascii="宋体" w:hAnsi="Courier New" w:eastAsia="宋体" w:cs="Courier New"/>
      <w:sz w:val="21"/>
      <w:szCs w:val="21"/>
    </w:rPr>
  </w:style>
  <w:style w:type="character" w:customStyle="1" w:styleId="37">
    <w:name w:val="页眉 字符"/>
    <w:basedOn w:val="18"/>
    <w:link w:val="11"/>
    <w:qFormat/>
    <w:uiPriority w:val="99"/>
    <w:rPr>
      <w:rFonts w:ascii="Tahoma" w:hAnsi="Tahoma"/>
      <w:sz w:val="18"/>
      <w:szCs w:val="18"/>
    </w:rPr>
  </w:style>
  <w:style w:type="character" w:customStyle="1" w:styleId="38">
    <w:name w:val="页脚 字符"/>
    <w:basedOn w:val="18"/>
    <w:link w:val="10"/>
    <w:qFormat/>
    <w:uiPriority w:val="99"/>
    <w:rPr>
      <w:rFonts w:ascii="Tahoma" w:hAnsi="Tahoma"/>
      <w:sz w:val="18"/>
      <w:szCs w:val="18"/>
    </w:rPr>
  </w:style>
  <w:style w:type="character" w:customStyle="1" w:styleId="39">
    <w:name w:val="批注框文本 字符"/>
    <w:basedOn w:val="18"/>
    <w:link w:val="9"/>
    <w:semiHidden/>
    <w:qFormat/>
    <w:uiPriority w:val="99"/>
    <w:rPr>
      <w:rFonts w:ascii="Tahoma" w:hAnsi="Tahoma"/>
      <w:sz w:val="18"/>
      <w:szCs w:val="18"/>
    </w:rPr>
  </w:style>
  <w:style w:type="paragraph" w:customStyle="1" w:styleId="40">
    <w:name w:val="Char Char2 Char"/>
    <w:basedOn w:val="1"/>
    <w:qFormat/>
    <w:uiPriority w:val="0"/>
    <w:pPr>
      <w:widowControl w:val="0"/>
      <w:adjustRightInd/>
      <w:snapToGrid/>
      <w:spacing w:after="0"/>
      <w:jc w:val="both"/>
    </w:pPr>
    <w:rPr>
      <w:rFonts w:ascii="宋体" w:hAnsi="宋体" w:eastAsia="宋体" w:cs="Times New Roman"/>
      <w:b/>
      <w:kern w:val="2"/>
      <w:sz w:val="28"/>
      <w:szCs w:val="28"/>
    </w:rPr>
  </w:style>
  <w:style w:type="character" w:customStyle="1" w:styleId="41">
    <w:name w:val="普通(网站) 字符"/>
    <w:link w:val="15"/>
    <w:qFormat/>
    <w:uiPriority w:val="0"/>
    <w:rPr>
      <w:rFonts w:eastAsia="宋体"/>
      <w:kern w:val="2"/>
      <w:sz w:val="24"/>
      <w:szCs w:val="24"/>
    </w:rPr>
  </w:style>
  <w:style w:type="paragraph" w:customStyle="1" w:styleId="42">
    <w:name w:val="列出段落1"/>
    <w:basedOn w:val="1"/>
    <w:qFormat/>
    <w:uiPriority w:val="99"/>
    <w:pPr>
      <w:widowControl w:val="0"/>
      <w:adjustRightInd/>
      <w:snapToGrid/>
      <w:spacing w:after="0" w:line="360" w:lineRule="auto"/>
      <w:ind w:firstLine="420" w:firstLineChars="200"/>
      <w:jc w:val="both"/>
    </w:pPr>
    <w:rPr>
      <w:rFonts w:ascii="Times New Roman" w:hAnsi="Times New Roman" w:eastAsia="宋体" w:cs="Times New Roman"/>
      <w:kern w:val="2"/>
      <w:sz w:val="24"/>
      <w:szCs w:val="24"/>
    </w:rPr>
  </w:style>
  <w:style w:type="character" w:customStyle="1" w:styleId="43">
    <w:name w:val="p141"/>
    <w:qFormat/>
    <w:uiPriority w:val="0"/>
    <w:rPr>
      <w:sz w:val="21"/>
      <w:szCs w:val="21"/>
    </w:rPr>
  </w:style>
  <w:style w:type="character" w:customStyle="1" w:styleId="44">
    <w:name w:val="tab1"/>
    <w:basedOn w:val="18"/>
    <w:uiPriority w:val="0"/>
    <w:rPr>
      <w:bdr w:val="none" w:color="auto" w:sz="0" w:space="0"/>
    </w:rPr>
  </w:style>
  <w:style w:type="character" w:customStyle="1" w:styleId="45">
    <w:name w:val="required"/>
    <w:basedOn w:val="18"/>
    <w:uiPriority w:val="0"/>
    <w:rPr>
      <w:color w:val="FF0000"/>
    </w:rPr>
  </w:style>
  <w:style w:type="character" w:customStyle="1" w:styleId="46">
    <w:name w:val="fielderror"/>
    <w:basedOn w:val="18"/>
    <w:uiPriority w:val="0"/>
    <w:rPr>
      <w:color w:val="800000"/>
    </w:rPr>
  </w:style>
  <w:style w:type="character" w:customStyle="1" w:styleId="47">
    <w:name w:val="tab2"/>
    <w:basedOn w:val="18"/>
    <w:uiPriority w:val="0"/>
    <w:rPr>
      <w:color w:val="333366"/>
      <w:bdr w:val="none" w:color="auto" w:sz="0" w:space="0"/>
    </w:rPr>
  </w:style>
  <w:style w:type="character" w:customStyle="1" w:styleId="48">
    <w:name w:val="hilite6"/>
    <w:basedOn w:val="18"/>
    <w:uiPriority w:val="0"/>
    <w:rPr>
      <w:color w:val="000000"/>
    </w:rPr>
  </w:style>
  <w:style w:type="character" w:customStyle="1" w:styleId="49">
    <w:name w:val="active6"/>
    <w:basedOn w:val="18"/>
    <w:uiPriority w:val="0"/>
    <w:rPr>
      <w:color w:val="FFFFFF"/>
    </w:rPr>
  </w:style>
  <w:style w:type="character" w:customStyle="1" w:styleId="50">
    <w:name w:val="hilite"/>
    <w:basedOn w:val="18"/>
    <w:uiPriority w:val="0"/>
    <w:rPr>
      <w:color w:val="000000"/>
    </w:rPr>
  </w:style>
  <w:style w:type="character" w:customStyle="1" w:styleId="51">
    <w:name w:val="active"/>
    <w:basedOn w:val="18"/>
    <w:uiPriority w:val="0"/>
    <w:rPr>
      <w:color w:val="FFFFFF"/>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6BD83C-2A9B-4E6F-A772-FE212356A246}">
  <ds:schemaRefs/>
</ds:datastoreItem>
</file>

<file path=docProps/app.xml><?xml version="1.0" encoding="utf-8"?>
<Properties xmlns="http://schemas.openxmlformats.org/officeDocument/2006/extended-properties" xmlns:vt="http://schemas.openxmlformats.org/officeDocument/2006/docPropsVTypes">
  <Template>Normal</Template>
  <Manager>HLR</Manager>
  <Company>广东三方诚信招标有限公司东莞分公司</Company>
  <Pages>64</Pages>
  <Words>28775</Words>
  <Characters>29670</Characters>
  <Lines>253</Lines>
  <Paragraphs>71</Paragraphs>
  <TotalTime>24</TotalTime>
  <ScaleCrop>false</ScaleCrop>
  <LinksUpToDate>false</LinksUpToDate>
  <CharactersWithSpaces>31584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文件</cp:category>
  <dcterms:created xsi:type="dcterms:W3CDTF">2019-07-08T13:55:00Z</dcterms:created>
  <dc:creator>广东三方诚信招标有限公司东莞分公司</dc:creator>
  <cp:keywords>文件格式版本</cp:keywords>
  <cp:lastModifiedBy>YISE</cp:lastModifiedBy>
  <cp:lastPrinted>2020-04-13T01:38:00Z</cp:lastPrinted>
  <dcterms:modified xsi:type="dcterms:W3CDTF">2020-04-22T02:27:16Z</dcterms:modified>
  <dc:subject>公开招标文件版本</dc:subject>
  <dc:title>公开招标文件版本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