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Cs/>
          <w:sz w:val="30"/>
          <w:szCs w:val="30"/>
        </w:rPr>
      </w:pPr>
    </w:p>
    <w:p>
      <w:pPr>
        <w:spacing w:before="120" w:beforeLines="50" w:after="120" w:afterLines="50"/>
        <w:jc w:val="center"/>
        <w:rPr>
          <w:rFonts w:eastAsia="黑体"/>
          <w:b/>
          <w:sz w:val="52"/>
          <w:szCs w:val="52"/>
          <w:u w:val="single"/>
        </w:rPr>
      </w:pPr>
    </w:p>
    <w:p>
      <w:pPr>
        <w:ind w:left="-567" w:leftChars="-270" w:right="-609" w:rightChars="-290"/>
        <w:jc w:val="center"/>
        <w:rPr>
          <w:rFonts w:eastAsia="黑体"/>
          <w:b/>
          <w:spacing w:val="-20"/>
          <w:sz w:val="44"/>
          <w:szCs w:val="36"/>
        </w:rPr>
      </w:pPr>
      <w:r>
        <w:rPr>
          <w:rFonts w:hint="eastAsia" w:eastAsia="黑体"/>
          <w:b/>
          <w:spacing w:val="-20"/>
          <w:sz w:val="52"/>
          <w:szCs w:val="36"/>
        </w:rPr>
        <w:t>民政资金发放与监管信息平台服务项目</w:t>
      </w:r>
    </w:p>
    <w:p>
      <w:pPr>
        <w:jc w:val="center"/>
        <w:rPr>
          <w:rFonts w:eastAsia="黑体"/>
          <w:b/>
          <w:spacing w:val="-20"/>
          <w:sz w:val="44"/>
          <w:szCs w:val="36"/>
        </w:rPr>
      </w:pPr>
    </w:p>
    <w:p>
      <w:pPr>
        <w:jc w:val="center"/>
        <w:rPr>
          <w:rFonts w:eastAsia="黑体"/>
          <w:b/>
          <w:spacing w:val="-20"/>
          <w:sz w:val="44"/>
          <w:szCs w:val="36"/>
        </w:rPr>
      </w:pPr>
      <w:r>
        <w:rPr>
          <w:rFonts w:hint="eastAsia" w:eastAsia="黑体"/>
          <w:b/>
          <w:spacing w:val="-20"/>
          <w:sz w:val="44"/>
          <w:szCs w:val="36"/>
        </w:rPr>
        <w:t>采购编号：</w:t>
      </w:r>
      <w:r>
        <w:rPr>
          <w:rFonts w:eastAsia="黑体"/>
          <w:b/>
          <w:spacing w:val="-20"/>
          <w:sz w:val="44"/>
          <w:szCs w:val="36"/>
        </w:rPr>
        <w:t>ZYDG-24-134</w:t>
      </w: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r>
        <w:rPr>
          <w:b/>
        </w:rPr>
        <w:drawing>
          <wp:inline distT="0" distB="0" distL="0" distR="0">
            <wp:extent cx="880745" cy="779145"/>
            <wp:effectExtent l="0" t="0" r="0" b="1905"/>
            <wp:docPr id="1026" name="图片 2" descr="dedb88ffba812d0bb92d8c3d44a650a"/>
            <wp:cNvGraphicFramePr/>
            <a:graphic xmlns:a="http://schemas.openxmlformats.org/drawingml/2006/main">
              <a:graphicData uri="http://schemas.openxmlformats.org/drawingml/2006/picture">
                <pic:pic xmlns:pic="http://schemas.openxmlformats.org/drawingml/2006/picture">
                  <pic:nvPicPr>
                    <pic:cNvPr id="1026" name="图片 2" descr="dedb88ffba812d0bb92d8c3d44a650a"/>
                    <pic:cNvPicPr/>
                  </pic:nvPicPr>
                  <pic:blipFill>
                    <a:blip r:embed="rId9" cstate="print"/>
                    <a:srcRect/>
                    <a:stretch>
                      <a:fillRect/>
                    </a:stretch>
                  </pic:blipFill>
                  <pic:spPr>
                    <a:xfrm>
                      <a:off x="0" y="0"/>
                      <a:ext cx="880745" cy="779145"/>
                    </a:xfrm>
                    <a:prstGeom prst="rect">
                      <a:avLst/>
                    </a:prstGeom>
                    <a:ln>
                      <a:noFill/>
                    </a:ln>
                  </pic:spPr>
                </pic:pic>
              </a:graphicData>
            </a:graphic>
          </wp:inline>
        </w:drawing>
      </w:r>
    </w:p>
    <w:p>
      <w:pPr>
        <w:spacing w:before="120" w:beforeLines="50" w:after="120" w:afterLines="50"/>
        <w:jc w:val="center"/>
        <w:rPr>
          <w:rFonts w:eastAsia="黑体"/>
          <w:b/>
          <w:sz w:val="44"/>
          <w:szCs w:val="44"/>
        </w:rPr>
      </w:pPr>
      <w:r>
        <w:rPr>
          <w:rFonts w:eastAsia="黑体"/>
          <w:b/>
          <w:sz w:val="84"/>
          <w:szCs w:val="84"/>
        </w:rPr>
        <w:t>招 标 文 件</w:t>
      </w:r>
    </w:p>
    <w:p>
      <w:pPr>
        <w:jc w:val="center"/>
        <w:rPr>
          <w:b/>
          <w:bCs/>
          <w:sz w:val="36"/>
        </w:rPr>
      </w:pPr>
    </w:p>
    <w:p>
      <w:pPr>
        <w:pStyle w:val="2"/>
      </w:pPr>
    </w:p>
    <w:p>
      <w:pPr>
        <w:jc w:val="center"/>
        <w:rPr>
          <w:b/>
          <w:bCs/>
          <w:sz w:val="36"/>
        </w:rPr>
      </w:pPr>
    </w:p>
    <w:p>
      <w:pPr>
        <w:jc w:val="center"/>
        <w:rPr>
          <w:b/>
          <w:bCs/>
          <w:sz w:val="36"/>
        </w:rPr>
      </w:pPr>
    </w:p>
    <w:p>
      <w:pPr>
        <w:jc w:val="center"/>
        <w:rPr>
          <w:b/>
          <w:bCs/>
          <w:sz w:val="36"/>
        </w:rPr>
      </w:pPr>
    </w:p>
    <w:p>
      <w:pPr>
        <w:spacing w:before="120" w:beforeLines="50" w:after="120" w:afterLines="50"/>
        <w:ind w:left="282" w:leftChars="133" w:right="525" w:rightChars="250" w:hanging="3" w:hangingChars="1"/>
        <w:jc w:val="distribute"/>
        <w:rPr>
          <w:rFonts w:eastAsia="黑体"/>
          <w:bCs/>
          <w:sz w:val="30"/>
          <w:szCs w:val="30"/>
          <w:u w:val="single"/>
        </w:rPr>
      </w:pPr>
      <w:r>
        <w:rPr>
          <w:rFonts w:eastAsia="黑体"/>
          <w:bCs/>
          <w:sz w:val="30"/>
          <w:szCs w:val="30"/>
        </w:rPr>
        <w:t>采购人：</w:t>
      </w:r>
      <w:r>
        <w:rPr>
          <w:rFonts w:hint="eastAsia" w:eastAsia="黑体"/>
          <w:bCs/>
          <w:sz w:val="30"/>
          <w:szCs w:val="30"/>
          <w:u w:val="single"/>
        </w:rPr>
        <w:t>东莞市民政局（</w:t>
      </w:r>
      <w:r>
        <w:rPr>
          <w:rFonts w:eastAsia="黑体"/>
          <w:bCs/>
          <w:sz w:val="30"/>
          <w:szCs w:val="30"/>
          <w:u w:val="single"/>
        </w:rPr>
        <w:t>盖单位</w:t>
      </w:r>
      <w:r>
        <w:rPr>
          <w:rFonts w:hint="eastAsia" w:eastAsia="黑体"/>
          <w:bCs/>
          <w:sz w:val="30"/>
          <w:szCs w:val="30"/>
          <w:u w:val="single"/>
        </w:rPr>
        <w:t>章）</w:t>
      </w:r>
    </w:p>
    <w:p>
      <w:pPr>
        <w:adjustRightInd w:val="0"/>
        <w:spacing w:before="120" w:beforeLines="50" w:after="120" w:afterLines="50"/>
        <w:ind w:left="282" w:leftChars="133" w:right="525" w:rightChars="250" w:hanging="3" w:hangingChars="1"/>
        <w:jc w:val="distribute"/>
        <w:rPr>
          <w:rFonts w:eastAsia="黑体"/>
          <w:bCs/>
          <w:sz w:val="30"/>
          <w:szCs w:val="30"/>
        </w:rPr>
      </w:pPr>
    </w:p>
    <w:p>
      <w:pPr>
        <w:adjustRightInd w:val="0"/>
        <w:spacing w:before="120" w:beforeLines="50" w:after="120" w:afterLines="50"/>
        <w:ind w:left="282" w:leftChars="133" w:right="525" w:rightChars="250" w:hanging="3" w:hangingChars="1"/>
        <w:jc w:val="distribute"/>
        <w:rPr>
          <w:rFonts w:eastAsia="黑体"/>
          <w:bCs/>
          <w:sz w:val="30"/>
          <w:szCs w:val="30"/>
          <w:u w:val="single"/>
        </w:rPr>
      </w:pPr>
      <w:r>
        <w:rPr>
          <w:rFonts w:hint="eastAsia" w:eastAsia="黑体"/>
          <w:bCs/>
          <w:sz w:val="30"/>
          <w:szCs w:val="30"/>
        </w:rPr>
        <w:t>采购</w:t>
      </w:r>
      <w:r>
        <w:rPr>
          <w:rFonts w:eastAsia="黑体"/>
          <w:bCs/>
          <w:sz w:val="30"/>
          <w:szCs w:val="30"/>
        </w:rPr>
        <w:t>代理机构：</w:t>
      </w:r>
      <w:r>
        <w:rPr>
          <w:rFonts w:hint="eastAsia" w:eastAsia="黑体"/>
          <w:bCs/>
          <w:sz w:val="30"/>
          <w:szCs w:val="30"/>
          <w:u w:val="single"/>
        </w:rPr>
        <w:t>广东中元招标代理有限公司（</w:t>
      </w:r>
      <w:r>
        <w:rPr>
          <w:rFonts w:eastAsia="黑体"/>
          <w:bCs/>
          <w:sz w:val="30"/>
          <w:szCs w:val="30"/>
          <w:u w:val="single"/>
        </w:rPr>
        <w:t>盖单位章</w:t>
      </w:r>
      <w:r>
        <w:rPr>
          <w:rFonts w:hint="eastAsia" w:eastAsia="黑体"/>
          <w:bCs/>
          <w:sz w:val="30"/>
          <w:szCs w:val="30"/>
          <w:u w:val="single"/>
        </w:rPr>
        <w:t>）</w:t>
      </w:r>
    </w:p>
    <w:p>
      <w:pPr>
        <w:adjustRightInd w:val="0"/>
        <w:spacing w:before="120" w:beforeLines="50" w:after="120" w:afterLines="50"/>
        <w:jc w:val="center"/>
        <w:rPr>
          <w:rFonts w:eastAsia="黑体"/>
          <w:bCs/>
          <w:sz w:val="30"/>
          <w:szCs w:val="30"/>
          <w:u w:val="single"/>
        </w:rPr>
      </w:pPr>
    </w:p>
    <w:p>
      <w:pPr>
        <w:adjustRightInd w:val="0"/>
        <w:spacing w:before="120" w:beforeLines="50" w:after="120" w:afterLines="50"/>
        <w:jc w:val="center"/>
        <w:rPr>
          <w:rFonts w:eastAsia="黑体"/>
          <w:bCs/>
          <w:sz w:val="30"/>
          <w:szCs w:val="30"/>
        </w:rPr>
      </w:pPr>
      <w:r>
        <w:rPr>
          <w:rFonts w:eastAsia="黑体"/>
          <w:bCs/>
          <w:sz w:val="30"/>
          <w:szCs w:val="30"/>
        </w:rPr>
        <w:t>二〇</w:t>
      </w:r>
      <w:r>
        <w:rPr>
          <w:rFonts w:hint="eastAsia" w:eastAsia="黑体"/>
          <w:bCs/>
          <w:sz w:val="30"/>
          <w:szCs w:val="30"/>
        </w:rPr>
        <w:t>二四</w:t>
      </w:r>
      <w:r>
        <w:rPr>
          <w:rFonts w:eastAsia="黑体"/>
          <w:bCs/>
          <w:sz w:val="30"/>
          <w:szCs w:val="30"/>
        </w:rPr>
        <w:t>年</w:t>
      </w:r>
      <w:r>
        <w:rPr>
          <w:rFonts w:hint="eastAsia" w:eastAsia="黑体"/>
          <w:bCs/>
          <w:sz w:val="30"/>
          <w:szCs w:val="30"/>
        </w:rPr>
        <w:t xml:space="preserve">  </w:t>
      </w:r>
      <w:r>
        <w:rPr>
          <w:rFonts w:eastAsia="黑体"/>
          <w:bCs/>
          <w:sz w:val="30"/>
          <w:szCs w:val="30"/>
        </w:rPr>
        <w:t>月</w:t>
      </w:r>
    </w:p>
    <w:p>
      <w:pPr>
        <w:pStyle w:val="2"/>
      </w:pPr>
    </w:p>
    <w:p>
      <w:pPr>
        <w:pStyle w:val="2"/>
        <w:sectPr>
          <w:headerReference r:id="rId3" w:type="default"/>
          <w:footerReference r:id="rId4" w:type="default"/>
          <w:pgSz w:w="11906" w:h="16838"/>
          <w:pgMar w:top="1440" w:right="1646" w:bottom="1440" w:left="1797" w:header="851" w:footer="992" w:gutter="0"/>
          <w:pgNumType w:start="0"/>
          <w:cols w:space="720" w:num="1"/>
          <w:titlePg/>
          <w:docGrid w:linePitch="312" w:charSpace="0"/>
        </w:sectPr>
      </w:pPr>
    </w:p>
    <w:p>
      <w:pPr>
        <w:spacing w:before="240" w:beforeLines="100" w:after="240" w:afterLines="100"/>
        <w:jc w:val="center"/>
        <w:outlineLvl w:val="0"/>
        <w:rPr>
          <w:b/>
          <w:bCs/>
          <w:sz w:val="44"/>
          <w:szCs w:val="44"/>
        </w:rPr>
      </w:pPr>
      <w:bookmarkStart w:id="0" w:name="_Toc170229621"/>
      <w:bookmarkStart w:id="1" w:name="_Toc10124618"/>
      <w:r>
        <w:rPr>
          <w:rFonts w:hint="eastAsia"/>
          <w:b/>
          <w:bCs/>
          <w:sz w:val="44"/>
          <w:szCs w:val="44"/>
        </w:rPr>
        <w:t>目  录</w:t>
      </w:r>
      <w:bookmarkEnd w:id="0"/>
      <w:bookmarkEnd w:id="1"/>
    </w:p>
    <w:p>
      <w:pPr>
        <w:pStyle w:val="31"/>
        <w:tabs>
          <w:tab w:val="right" w:leader="dot" w:pos="8302"/>
        </w:tabs>
        <w:rPr>
          <w:rFonts w:asciiTheme="minorHAnsi" w:hAnsiTheme="minorHAnsi" w:eastAsiaTheme="minorEastAsia" w:cstheme="minorBidi"/>
          <w:b w:val="0"/>
          <w:bCs w:val="0"/>
          <w:caps w:val="0"/>
          <w:sz w:val="21"/>
          <w:szCs w:val="22"/>
        </w:rPr>
      </w:pPr>
      <w:r>
        <w:rPr>
          <w:rFonts w:ascii="Times New Roman" w:hAnsi="Times New Roman" w:eastAsia="黑体"/>
          <w:caps w:val="0"/>
          <w:sz w:val="36"/>
        </w:rPr>
        <w:fldChar w:fldCharType="begin"/>
      </w:r>
      <w:r>
        <w:rPr>
          <w:rFonts w:ascii="Times New Roman" w:hAnsi="Times New Roman" w:eastAsia="黑体"/>
          <w:caps w:val="0"/>
          <w:sz w:val="36"/>
        </w:rPr>
        <w:instrText xml:space="preserve"> TOC \o "1-3" \h \z \u </w:instrText>
      </w:r>
      <w:r>
        <w:rPr>
          <w:rFonts w:ascii="Times New Roman" w:hAnsi="Times New Roman" w:eastAsia="黑体"/>
          <w:caps w:val="0"/>
          <w:sz w:val="36"/>
        </w:rPr>
        <w:fldChar w:fldCharType="separate"/>
      </w:r>
      <w:r>
        <w:fldChar w:fldCharType="begin"/>
      </w:r>
      <w:r>
        <w:instrText xml:space="preserve"> HYPERLINK \l "_Toc170229621" </w:instrText>
      </w:r>
      <w:r>
        <w:fldChar w:fldCharType="separate"/>
      </w:r>
      <w:r>
        <w:rPr>
          <w:rStyle w:val="55"/>
          <w:rFonts w:hint="eastAsia"/>
          <w:color w:val="auto"/>
        </w:rPr>
        <w:t>目</w:t>
      </w:r>
      <w:r>
        <w:rPr>
          <w:rStyle w:val="55"/>
          <w:color w:val="auto"/>
        </w:rPr>
        <w:t xml:space="preserve">  </w:t>
      </w:r>
      <w:r>
        <w:rPr>
          <w:rStyle w:val="55"/>
          <w:rFonts w:hint="eastAsia"/>
          <w:color w:val="auto"/>
        </w:rPr>
        <w:t>录</w:t>
      </w:r>
      <w:r>
        <w:tab/>
      </w:r>
      <w:r>
        <w:fldChar w:fldCharType="begin"/>
      </w:r>
      <w:r>
        <w:instrText xml:space="preserve"> PAGEREF _Toc170229621 \h </w:instrText>
      </w:r>
      <w:r>
        <w:fldChar w:fldCharType="separate"/>
      </w:r>
      <w:r>
        <w:t>1</w:t>
      </w:r>
      <w:r>
        <w:fldChar w:fldCharType="end"/>
      </w:r>
      <w:r>
        <w:fldChar w:fldCharType="end"/>
      </w:r>
    </w:p>
    <w:p>
      <w:pPr>
        <w:pStyle w:val="31"/>
        <w:tabs>
          <w:tab w:val="right" w:leader="dot" w:pos="8302"/>
        </w:tabs>
        <w:rPr>
          <w:rFonts w:asciiTheme="minorHAnsi" w:hAnsiTheme="minorHAnsi" w:eastAsiaTheme="minorEastAsia" w:cstheme="minorBidi"/>
          <w:b w:val="0"/>
          <w:bCs w:val="0"/>
          <w:caps w:val="0"/>
          <w:sz w:val="21"/>
          <w:szCs w:val="22"/>
        </w:rPr>
      </w:pPr>
      <w:r>
        <w:fldChar w:fldCharType="begin"/>
      </w:r>
      <w:r>
        <w:instrText xml:space="preserve"> HYPERLINK \l "_Toc170229622" </w:instrText>
      </w:r>
      <w:r>
        <w:fldChar w:fldCharType="separate"/>
      </w:r>
      <w:r>
        <w:rPr>
          <w:rStyle w:val="55"/>
          <w:rFonts w:hint="eastAsia" w:eastAsia="黑体"/>
          <w:color w:val="auto"/>
        </w:rPr>
        <w:t>第一册</w:t>
      </w:r>
      <w:r>
        <w:tab/>
      </w:r>
      <w:r>
        <w:fldChar w:fldCharType="begin"/>
      </w:r>
      <w:r>
        <w:instrText xml:space="preserve"> PAGEREF _Toc170229622 \h </w:instrText>
      </w:r>
      <w:r>
        <w:fldChar w:fldCharType="separate"/>
      </w:r>
      <w:r>
        <w:t>3</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"_Toc170229623" </w:instrText>
      </w:r>
      <w:r>
        <w:fldChar w:fldCharType="separate"/>
      </w:r>
      <w:r>
        <w:rPr>
          <w:rStyle w:val="55"/>
          <w:rFonts w:hint="eastAsia"/>
          <w:b/>
          <w:bCs/>
          <w:color w:val="auto"/>
        </w:rPr>
        <w:t>第一部分</w:t>
      </w:r>
      <w:r>
        <w:rPr>
          <w:rStyle w:val="55"/>
          <w:b/>
          <w:bCs/>
          <w:color w:val="auto"/>
        </w:rPr>
        <w:t xml:space="preserve">  </w:t>
      </w:r>
      <w:r>
        <w:rPr>
          <w:rStyle w:val="55"/>
          <w:rFonts w:hint="eastAsia"/>
          <w:b/>
          <w:bCs/>
          <w:color w:val="auto"/>
        </w:rPr>
        <w:t>投标邀请</w:t>
      </w:r>
      <w:r>
        <w:tab/>
      </w:r>
      <w:r>
        <w:fldChar w:fldCharType="begin"/>
      </w:r>
      <w:r>
        <w:instrText xml:space="preserve"> PAGEREF _Toc170229623 \h </w:instrText>
      </w:r>
      <w:r>
        <w:fldChar w:fldCharType="separate"/>
      </w:r>
      <w:r>
        <w:t>4</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"_Toc170229624" </w:instrText>
      </w:r>
      <w:r>
        <w:fldChar w:fldCharType="separate"/>
      </w:r>
      <w:r>
        <w:rPr>
          <w:rStyle w:val="55"/>
          <w:rFonts w:hint="eastAsia"/>
          <w:b/>
          <w:bCs/>
          <w:color w:val="auto"/>
        </w:rPr>
        <w:t>第二部分</w:t>
      </w:r>
      <w:r>
        <w:rPr>
          <w:rStyle w:val="55"/>
          <w:b/>
          <w:bCs/>
          <w:color w:val="auto"/>
        </w:rPr>
        <w:t xml:space="preserve">  </w:t>
      </w:r>
      <w:r>
        <w:rPr>
          <w:rStyle w:val="55"/>
          <w:rFonts w:hint="eastAsia"/>
          <w:b/>
          <w:bCs/>
          <w:color w:val="auto"/>
        </w:rPr>
        <w:t>用户需求书</w:t>
      </w:r>
      <w:r>
        <w:tab/>
      </w:r>
      <w:r>
        <w:fldChar w:fldCharType="begin"/>
      </w:r>
      <w:r>
        <w:instrText xml:space="preserve"> PAGEREF _Toc170229624 \h </w:instrText>
      </w:r>
      <w:r>
        <w:fldChar w:fldCharType="separate"/>
      </w:r>
      <w:r>
        <w:t>8</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"_Toc170229625" </w:instrText>
      </w:r>
      <w:r>
        <w:fldChar w:fldCharType="separate"/>
      </w:r>
      <w:r>
        <w:rPr>
          <w:rStyle w:val="55"/>
          <w:rFonts w:hint="eastAsia"/>
          <w:b/>
          <w:bCs/>
          <w:color w:val="auto"/>
        </w:rPr>
        <w:t>第三部分</w:t>
      </w:r>
      <w:r>
        <w:rPr>
          <w:rStyle w:val="55"/>
          <w:b/>
          <w:bCs/>
          <w:color w:val="auto"/>
        </w:rPr>
        <w:t xml:space="preserve">  </w:t>
      </w:r>
      <w:r>
        <w:rPr>
          <w:rStyle w:val="55"/>
          <w:rFonts w:hint="eastAsia"/>
          <w:b/>
          <w:bCs/>
          <w:color w:val="auto"/>
        </w:rPr>
        <w:t>投标人须知前附表</w:t>
      </w:r>
      <w:r>
        <w:tab/>
      </w:r>
      <w:r>
        <w:fldChar w:fldCharType="begin"/>
      </w:r>
      <w:r>
        <w:instrText xml:space="preserve"> PAGEREF _Toc170229625 \h </w:instrText>
      </w:r>
      <w:r>
        <w:fldChar w:fldCharType="separate"/>
      </w:r>
      <w:r>
        <w:t>20</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"_Toc170229626" </w:instrText>
      </w:r>
      <w:r>
        <w:fldChar w:fldCharType="separate"/>
      </w:r>
      <w:r>
        <w:rPr>
          <w:rStyle w:val="55"/>
          <w:rFonts w:hint="eastAsia"/>
          <w:b/>
          <w:bCs/>
          <w:color w:val="auto"/>
        </w:rPr>
        <w:t>第四部分</w:t>
      </w:r>
      <w:r>
        <w:rPr>
          <w:rStyle w:val="55"/>
          <w:b/>
          <w:bCs/>
          <w:color w:val="auto"/>
        </w:rPr>
        <w:t xml:space="preserve">  </w:t>
      </w:r>
      <w:r>
        <w:rPr>
          <w:rStyle w:val="55"/>
          <w:rFonts w:hint="eastAsia"/>
          <w:b/>
          <w:bCs/>
          <w:color w:val="auto"/>
        </w:rPr>
        <w:t>评分方法</w:t>
      </w:r>
      <w:r>
        <w:tab/>
      </w:r>
      <w:r>
        <w:fldChar w:fldCharType="begin"/>
      </w:r>
      <w:r>
        <w:instrText xml:space="preserve"> PAGEREF _Toc170229626 \h </w:instrText>
      </w:r>
      <w:r>
        <w:fldChar w:fldCharType="separate"/>
      </w:r>
      <w:r>
        <w:t>23</w:t>
      </w:r>
      <w:r>
        <w:fldChar w:fldCharType="end"/>
      </w:r>
      <w:r>
        <w:fldChar w:fldCharType="end"/>
      </w:r>
    </w:p>
    <w:p>
      <w:pPr>
        <w:pStyle w:val="31"/>
        <w:tabs>
          <w:tab w:val="right" w:leader="dot" w:pos="8302"/>
        </w:tabs>
        <w:rPr>
          <w:rFonts w:asciiTheme="minorHAnsi" w:hAnsiTheme="minorHAnsi" w:eastAsiaTheme="minorEastAsia" w:cstheme="minorBidi"/>
          <w:b w:val="0"/>
          <w:bCs w:val="0"/>
          <w:caps w:val="0"/>
          <w:sz w:val="21"/>
          <w:szCs w:val="22"/>
        </w:rPr>
      </w:pPr>
      <w:r>
        <w:fldChar w:fldCharType="begin"/>
      </w:r>
      <w:r>
        <w:instrText xml:space="preserve"> HYPERLINK \l "_Toc170229627" </w:instrText>
      </w:r>
      <w:r>
        <w:fldChar w:fldCharType="separate"/>
      </w:r>
      <w:r>
        <w:rPr>
          <w:rStyle w:val="55"/>
          <w:rFonts w:hint="eastAsia" w:eastAsia="黑体"/>
          <w:color w:val="auto"/>
        </w:rPr>
        <w:t>第二册</w:t>
      </w:r>
      <w:r>
        <w:tab/>
      </w:r>
      <w:r>
        <w:fldChar w:fldCharType="begin"/>
      </w:r>
      <w:r>
        <w:instrText xml:space="preserve"> PAGEREF _Toc170229627 \h </w:instrText>
      </w:r>
      <w:r>
        <w:fldChar w:fldCharType="separate"/>
      </w:r>
      <w:r>
        <w:t>27</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"_Toc170229628" </w:instrText>
      </w:r>
      <w:r>
        <w:fldChar w:fldCharType="separate"/>
      </w:r>
      <w:r>
        <w:rPr>
          <w:rStyle w:val="55"/>
          <w:rFonts w:hint="eastAsia"/>
          <w:b/>
          <w:bCs/>
          <w:color w:val="auto"/>
        </w:rPr>
        <w:t>第五部分</w:t>
      </w:r>
      <w:r>
        <w:rPr>
          <w:rStyle w:val="55"/>
          <w:b/>
          <w:bCs/>
          <w:color w:val="auto"/>
        </w:rPr>
        <w:t xml:space="preserve">  </w:t>
      </w:r>
      <w:r>
        <w:rPr>
          <w:rStyle w:val="55"/>
          <w:rFonts w:hint="eastAsia"/>
          <w:b/>
          <w:bCs/>
          <w:color w:val="auto"/>
        </w:rPr>
        <w:t>投标人须知</w:t>
      </w:r>
      <w:r>
        <w:tab/>
      </w:r>
      <w:r>
        <w:fldChar w:fldCharType="begin"/>
      </w:r>
      <w:r>
        <w:instrText xml:space="preserve"> PAGEREF _Toc170229628 \h </w:instrText>
      </w:r>
      <w:r>
        <w:fldChar w:fldCharType="separate"/>
      </w:r>
      <w:r>
        <w:t>28</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"_Toc170229629" </w:instrText>
      </w:r>
      <w:r>
        <w:fldChar w:fldCharType="separate"/>
      </w:r>
      <w:r>
        <w:rPr>
          <w:rStyle w:val="55"/>
          <w:rFonts w:hint="eastAsia"/>
          <w:b/>
          <w:bCs/>
          <w:color w:val="auto"/>
        </w:rPr>
        <w:t>一、说明</w:t>
      </w:r>
      <w:r>
        <w:tab/>
      </w:r>
      <w:r>
        <w:fldChar w:fldCharType="begin"/>
      </w:r>
      <w:r>
        <w:instrText xml:space="preserve"> PAGEREF _Toc170229629 \h </w:instrText>
      </w:r>
      <w:r>
        <w:fldChar w:fldCharType="separate"/>
      </w:r>
      <w:r>
        <w:t>29</w:t>
      </w:r>
      <w:r>
        <w:fldChar w:fldCharType="end"/>
      </w:r>
      <w:r>
        <w:fldChar w:fldCharType="end"/>
      </w:r>
    </w:p>
    <w:p>
      <w:pPr>
        <w:pStyle w:val="23"/>
        <w:tabs>
          <w:tab w:val="left" w:pos="84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"_Toc170229630" </w:instrText>
      </w:r>
      <w:r>
        <w:fldChar w:fldCharType="separate"/>
      </w:r>
      <w:r>
        <w:rPr>
          <w:rStyle w:val="55"/>
          <w:b/>
          <w:color w:val="auto"/>
        </w:rPr>
        <w:t>1.</w:t>
      </w:r>
      <w:r>
        <w:rPr>
          <w:rFonts w:asciiTheme="minorHAnsi" w:hAnsiTheme="minorHAnsi" w:eastAsiaTheme="minorEastAsia" w:cstheme="minorBidi"/>
          <w:i w:val="0"/>
          <w:iCs w:val="0"/>
          <w:sz w:val="21"/>
          <w:szCs w:val="22"/>
        </w:rPr>
        <w:tab/>
      </w:r>
      <w:r>
        <w:rPr>
          <w:rStyle w:val="55"/>
          <w:rFonts w:hint="eastAsia"/>
          <w:b/>
          <w:color w:val="auto"/>
        </w:rPr>
        <w:t>招标范围及资金来源</w:t>
      </w:r>
      <w:r>
        <w:tab/>
      </w:r>
      <w:r>
        <w:fldChar w:fldCharType="begin"/>
      </w:r>
      <w:r>
        <w:instrText xml:space="preserve"> PAGEREF _Toc170229630 \h </w:instrText>
      </w:r>
      <w:r>
        <w:fldChar w:fldCharType="separate"/>
      </w:r>
      <w:r>
        <w:t>29</w:t>
      </w:r>
      <w:r>
        <w:fldChar w:fldCharType="end"/>
      </w:r>
      <w:r>
        <w:fldChar w:fldCharType="end"/>
      </w:r>
    </w:p>
    <w:p>
      <w:pPr>
        <w:pStyle w:val="23"/>
        <w:tabs>
          <w:tab w:val="left" w:pos="84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"_Toc170229631" </w:instrText>
      </w:r>
      <w:r>
        <w:fldChar w:fldCharType="separate"/>
      </w:r>
      <w:r>
        <w:rPr>
          <w:rStyle w:val="55"/>
          <w:b/>
          <w:color w:val="auto"/>
        </w:rPr>
        <w:t>2.</w:t>
      </w:r>
      <w:r>
        <w:rPr>
          <w:rFonts w:asciiTheme="minorHAnsi" w:hAnsiTheme="minorHAnsi" w:eastAsiaTheme="minorEastAsia" w:cstheme="minorBidi"/>
          <w:i w:val="0"/>
          <w:iCs w:val="0"/>
          <w:sz w:val="21"/>
          <w:szCs w:val="22"/>
        </w:rPr>
        <w:tab/>
      </w:r>
      <w:r>
        <w:rPr>
          <w:rStyle w:val="55"/>
          <w:rFonts w:hint="eastAsia"/>
          <w:b/>
          <w:color w:val="auto"/>
        </w:rPr>
        <w:t>定义</w:t>
      </w:r>
      <w:r>
        <w:tab/>
      </w:r>
      <w:r>
        <w:fldChar w:fldCharType="begin"/>
      </w:r>
      <w:r>
        <w:instrText xml:space="preserve"> PAGEREF _Toc170229631 \h </w:instrText>
      </w:r>
      <w:r>
        <w:fldChar w:fldCharType="separate"/>
      </w:r>
      <w:r>
        <w:t>29</w:t>
      </w:r>
      <w:r>
        <w:fldChar w:fldCharType="end"/>
      </w:r>
      <w:r>
        <w:fldChar w:fldCharType="end"/>
      </w:r>
    </w:p>
    <w:p>
      <w:pPr>
        <w:pStyle w:val="23"/>
        <w:tabs>
          <w:tab w:val="left" w:pos="84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"_Toc170229632" </w:instrText>
      </w:r>
      <w:r>
        <w:fldChar w:fldCharType="separate"/>
      </w:r>
      <w:r>
        <w:rPr>
          <w:rStyle w:val="55"/>
          <w:b/>
          <w:color w:val="auto"/>
        </w:rPr>
        <w:t>3.</w:t>
      </w:r>
      <w:r>
        <w:rPr>
          <w:rFonts w:asciiTheme="minorHAnsi" w:hAnsiTheme="minorHAnsi" w:eastAsiaTheme="minorEastAsia" w:cstheme="minorBidi"/>
          <w:i w:val="0"/>
          <w:iCs w:val="0"/>
          <w:sz w:val="21"/>
          <w:szCs w:val="22"/>
        </w:rPr>
        <w:tab/>
      </w:r>
      <w:r>
        <w:rPr>
          <w:rStyle w:val="55"/>
          <w:rFonts w:hint="eastAsia"/>
          <w:b/>
          <w:color w:val="auto"/>
        </w:rPr>
        <w:t>合格的投标人</w:t>
      </w:r>
      <w:r>
        <w:tab/>
      </w:r>
      <w:r>
        <w:fldChar w:fldCharType="begin"/>
      </w:r>
      <w:r>
        <w:instrText xml:space="preserve"> PAGEREF _Toc170229632 \h </w:instrText>
      </w:r>
      <w:r>
        <w:fldChar w:fldCharType="separate"/>
      </w:r>
      <w:r>
        <w:t>29</w:t>
      </w:r>
      <w:r>
        <w:fldChar w:fldCharType="end"/>
      </w:r>
      <w:r>
        <w:fldChar w:fldCharType="end"/>
      </w:r>
    </w:p>
    <w:p>
      <w:pPr>
        <w:pStyle w:val="23"/>
        <w:tabs>
          <w:tab w:val="left" w:pos="84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"_Toc170229633" </w:instrText>
      </w:r>
      <w:r>
        <w:fldChar w:fldCharType="separate"/>
      </w:r>
      <w:r>
        <w:rPr>
          <w:rStyle w:val="55"/>
          <w:b/>
          <w:color w:val="auto"/>
        </w:rPr>
        <w:t>4.</w:t>
      </w:r>
      <w:r>
        <w:rPr>
          <w:rFonts w:asciiTheme="minorHAnsi" w:hAnsiTheme="minorHAnsi" w:eastAsiaTheme="minorEastAsia" w:cstheme="minorBidi"/>
          <w:i w:val="0"/>
          <w:iCs w:val="0"/>
          <w:sz w:val="21"/>
          <w:szCs w:val="22"/>
        </w:rPr>
        <w:tab/>
      </w:r>
      <w:r>
        <w:rPr>
          <w:rStyle w:val="55"/>
          <w:rFonts w:hint="eastAsia"/>
          <w:b/>
          <w:color w:val="auto"/>
        </w:rPr>
        <w:t>联合体投标（本项目不接受联合体形式投标）</w:t>
      </w:r>
      <w:r>
        <w:tab/>
      </w:r>
      <w:r>
        <w:fldChar w:fldCharType="begin"/>
      </w:r>
      <w:r>
        <w:instrText xml:space="preserve"> PAGEREF _Toc170229633 \h </w:instrText>
      </w:r>
      <w:r>
        <w:fldChar w:fldCharType="separate"/>
      </w:r>
      <w:r>
        <w:t>30</w:t>
      </w:r>
      <w:r>
        <w:fldChar w:fldCharType="end"/>
      </w:r>
      <w:r>
        <w:fldChar w:fldCharType="end"/>
      </w:r>
    </w:p>
    <w:p>
      <w:pPr>
        <w:pStyle w:val="23"/>
        <w:tabs>
          <w:tab w:val="left" w:pos="84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"_Toc170229634" </w:instrText>
      </w:r>
      <w:r>
        <w:fldChar w:fldCharType="separate"/>
      </w:r>
      <w:r>
        <w:rPr>
          <w:rStyle w:val="55"/>
          <w:b/>
          <w:color w:val="auto"/>
        </w:rPr>
        <w:t>5.</w:t>
      </w:r>
      <w:r>
        <w:rPr>
          <w:rFonts w:asciiTheme="minorHAnsi" w:hAnsiTheme="minorHAnsi" w:eastAsiaTheme="minorEastAsia" w:cstheme="minorBidi"/>
          <w:i w:val="0"/>
          <w:iCs w:val="0"/>
          <w:sz w:val="21"/>
          <w:szCs w:val="22"/>
        </w:rPr>
        <w:tab/>
      </w:r>
      <w:r>
        <w:rPr>
          <w:rStyle w:val="55"/>
          <w:rFonts w:hint="eastAsia"/>
          <w:b/>
          <w:color w:val="auto"/>
        </w:rPr>
        <w:t>合格的货物和服务</w:t>
      </w:r>
      <w:r>
        <w:tab/>
      </w:r>
      <w:r>
        <w:fldChar w:fldCharType="begin"/>
      </w:r>
      <w:r>
        <w:instrText xml:space="preserve"> PAGEREF _Toc170229634 \h </w:instrText>
      </w:r>
      <w:r>
        <w:fldChar w:fldCharType="separate"/>
      </w:r>
      <w:r>
        <w:t>30</w:t>
      </w:r>
      <w:r>
        <w:fldChar w:fldCharType="end"/>
      </w:r>
      <w:r>
        <w:fldChar w:fldCharType="end"/>
      </w:r>
    </w:p>
    <w:p>
      <w:pPr>
        <w:pStyle w:val="23"/>
        <w:tabs>
          <w:tab w:val="left" w:pos="84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"_Toc170229635" </w:instrText>
      </w:r>
      <w:r>
        <w:fldChar w:fldCharType="separate"/>
      </w:r>
      <w:r>
        <w:rPr>
          <w:rStyle w:val="55"/>
          <w:b/>
          <w:color w:val="auto"/>
        </w:rPr>
        <w:t>6.</w:t>
      </w:r>
      <w:r>
        <w:rPr>
          <w:rFonts w:asciiTheme="minorHAnsi" w:hAnsiTheme="minorHAnsi" w:eastAsiaTheme="minorEastAsia" w:cstheme="minorBidi"/>
          <w:i w:val="0"/>
          <w:iCs w:val="0"/>
          <w:sz w:val="21"/>
          <w:szCs w:val="22"/>
        </w:rPr>
        <w:tab/>
      </w:r>
      <w:r>
        <w:rPr>
          <w:rStyle w:val="55"/>
          <w:rFonts w:hint="eastAsia"/>
          <w:b/>
          <w:color w:val="auto"/>
        </w:rPr>
        <w:t>投标费用</w:t>
      </w:r>
      <w:r>
        <w:tab/>
      </w:r>
      <w:r>
        <w:fldChar w:fldCharType="begin"/>
      </w:r>
      <w:r>
        <w:instrText xml:space="preserve"> PAGEREF _Toc170229635 \h </w:instrText>
      </w:r>
      <w:r>
        <w:fldChar w:fldCharType="separate"/>
      </w:r>
      <w:r>
        <w:t>30</w:t>
      </w:r>
      <w:r>
        <w:fldChar w:fldCharType="end"/>
      </w:r>
      <w:r>
        <w:fldChar w:fldCharType="end"/>
      </w:r>
    </w:p>
    <w:p>
      <w:pPr>
        <w:pStyle w:val="23"/>
        <w:tabs>
          <w:tab w:val="left" w:pos="84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"_Toc170229636" </w:instrText>
      </w:r>
      <w:r>
        <w:fldChar w:fldCharType="separate"/>
      </w:r>
      <w:r>
        <w:rPr>
          <w:rStyle w:val="55"/>
          <w:b/>
          <w:color w:val="auto"/>
        </w:rPr>
        <w:t>7.</w:t>
      </w:r>
      <w:r>
        <w:rPr>
          <w:rFonts w:asciiTheme="minorHAnsi" w:hAnsiTheme="minorHAnsi" w:eastAsiaTheme="minorEastAsia" w:cstheme="minorBidi"/>
          <w:i w:val="0"/>
          <w:iCs w:val="0"/>
          <w:sz w:val="21"/>
          <w:szCs w:val="22"/>
        </w:rPr>
        <w:tab/>
      </w:r>
      <w:r>
        <w:rPr>
          <w:rStyle w:val="55"/>
          <w:rFonts w:hint="eastAsia"/>
          <w:b/>
          <w:color w:val="auto"/>
        </w:rPr>
        <w:t>踏勘现场</w:t>
      </w:r>
      <w:r>
        <w:tab/>
      </w:r>
      <w:r>
        <w:fldChar w:fldCharType="begin"/>
      </w:r>
      <w:r>
        <w:instrText xml:space="preserve"> PAGEREF _Toc170229636 \h </w:instrText>
      </w:r>
      <w:r>
        <w:fldChar w:fldCharType="separate"/>
      </w:r>
      <w:r>
        <w:t>30</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"_Toc170229637" </w:instrText>
      </w:r>
      <w:r>
        <w:fldChar w:fldCharType="separate"/>
      </w:r>
      <w:r>
        <w:rPr>
          <w:rStyle w:val="55"/>
          <w:rFonts w:hint="eastAsia"/>
          <w:b/>
          <w:bCs/>
          <w:color w:val="auto"/>
        </w:rPr>
        <w:t>二、招标文件</w:t>
      </w:r>
      <w:r>
        <w:tab/>
      </w:r>
      <w:r>
        <w:fldChar w:fldCharType="begin"/>
      </w:r>
      <w:r>
        <w:instrText xml:space="preserve"> PAGEREF _Toc170229637 \h </w:instrText>
      </w:r>
      <w:r>
        <w:fldChar w:fldCharType="separate"/>
      </w:r>
      <w:r>
        <w:t>31</w:t>
      </w:r>
      <w:r>
        <w:fldChar w:fldCharType="end"/>
      </w:r>
      <w:r>
        <w:fldChar w:fldCharType="end"/>
      </w:r>
    </w:p>
    <w:p>
      <w:pPr>
        <w:pStyle w:val="23"/>
        <w:tabs>
          <w:tab w:val="left" w:pos="84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"_Toc170229638" </w:instrText>
      </w:r>
      <w:r>
        <w:fldChar w:fldCharType="separate"/>
      </w:r>
      <w:r>
        <w:rPr>
          <w:rStyle w:val="55"/>
          <w:b/>
          <w:color w:val="auto"/>
        </w:rPr>
        <w:t>8.</w:t>
      </w:r>
      <w:r>
        <w:rPr>
          <w:rFonts w:asciiTheme="minorHAnsi" w:hAnsiTheme="minorHAnsi" w:eastAsiaTheme="minorEastAsia" w:cstheme="minorBidi"/>
          <w:i w:val="0"/>
          <w:iCs w:val="0"/>
          <w:sz w:val="21"/>
          <w:szCs w:val="22"/>
        </w:rPr>
        <w:tab/>
      </w:r>
      <w:r>
        <w:rPr>
          <w:rStyle w:val="55"/>
          <w:rFonts w:hint="eastAsia"/>
          <w:b/>
          <w:color w:val="auto"/>
        </w:rPr>
        <w:t>招标文件的组成</w:t>
      </w:r>
      <w:r>
        <w:tab/>
      </w:r>
      <w:r>
        <w:fldChar w:fldCharType="begin"/>
      </w:r>
      <w:r>
        <w:instrText xml:space="preserve"> PAGEREF _Toc170229638 \h </w:instrText>
      </w:r>
      <w:r>
        <w:fldChar w:fldCharType="separate"/>
      </w:r>
      <w:r>
        <w:t>31</w:t>
      </w:r>
      <w:r>
        <w:fldChar w:fldCharType="end"/>
      </w:r>
      <w:r>
        <w:fldChar w:fldCharType="end"/>
      </w:r>
    </w:p>
    <w:p>
      <w:pPr>
        <w:pStyle w:val="23"/>
        <w:tabs>
          <w:tab w:val="left" w:pos="84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"_Toc170229639" </w:instrText>
      </w:r>
      <w:r>
        <w:fldChar w:fldCharType="separate"/>
      </w:r>
      <w:r>
        <w:rPr>
          <w:rStyle w:val="55"/>
          <w:b/>
          <w:color w:val="auto"/>
        </w:rPr>
        <w:t>9.</w:t>
      </w:r>
      <w:r>
        <w:rPr>
          <w:rFonts w:asciiTheme="minorHAnsi" w:hAnsiTheme="minorHAnsi" w:eastAsiaTheme="minorEastAsia" w:cstheme="minorBidi"/>
          <w:i w:val="0"/>
          <w:iCs w:val="0"/>
          <w:sz w:val="21"/>
          <w:szCs w:val="22"/>
        </w:rPr>
        <w:tab/>
      </w:r>
      <w:r>
        <w:rPr>
          <w:rStyle w:val="55"/>
          <w:rFonts w:hint="eastAsia"/>
          <w:b/>
          <w:color w:val="auto"/>
        </w:rPr>
        <w:t>招标文件的询问或质疑</w:t>
      </w:r>
      <w:r>
        <w:tab/>
      </w:r>
      <w:r>
        <w:fldChar w:fldCharType="begin"/>
      </w:r>
      <w:r>
        <w:instrText xml:space="preserve"> PAGEREF _Toc170229639 \h </w:instrText>
      </w:r>
      <w:r>
        <w:fldChar w:fldCharType="separate"/>
      </w:r>
      <w:r>
        <w:t>31</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"_Toc170229640" </w:instrText>
      </w:r>
      <w:r>
        <w:fldChar w:fldCharType="separate"/>
      </w:r>
      <w:r>
        <w:rPr>
          <w:rStyle w:val="55"/>
          <w:b/>
          <w:color w:val="auto"/>
        </w:rPr>
        <w:t>10.</w:t>
      </w:r>
      <w:r>
        <w:rPr>
          <w:rFonts w:asciiTheme="minorHAnsi" w:hAnsiTheme="minorHAnsi" w:eastAsiaTheme="minorEastAsia" w:cstheme="minorBidi"/>
          <w:i w:val="0"/>
          <w:iCs w:val="0"/>
          <w:sz w:val="21"/>
          <w:szCs w:val="22"/>
        </w:rPr>
        <w:tab/>
      </w:r>
      <w:r>
        <w:rPr>
          <w:rStyle w:val="55"/>
          <w:rFonts w:hint="eastAsia"/>
          <w:b/>
          <w:color w:val="auto"/>
        </w:rPr>
        <w:t>招标文件的修改</w:t>
      </w:r>
      <w:r>
        <w:tab/>
      </w:r>
      <w:r>
        <w:fldChar w:fldCharType="begin"/>
      </w:r>
      <w:r>
        <w:instrText xml:space="preserve"> PAGEREF _Toc170229640 \h </w:instrText>
      </w:r>
      <w:r>
        <w:fldChar w:fldCharType="separate"/>
      </w:r>
      <w:r>
        <w:t>33</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"_Toc170229641" </w:instrText>
      </w:r>
      <w:r>
        <w:fldChar w:fldCharType="separate"/>
      </w:r>
      <w:r>
        <w:rPr>
          <w:rStyle w:val="55"/>
          <w:rFonts w:hint="eastAsia"/>
          <w:b/>
          <w:bCs/>
          <w:color w:val="auto"/>
        </w:rPr>
        <w:t>三、投标文件的编制</w:t>
      </w:r>
      <w:r>
        <w:tab/>
      </w:r>
      <w:r>
        <w:fldChar w:fldCharType="begin"/>
      </w:r>
      <w:r>
        <w:instrText xml:space="preserve"> PAGEREF _Toc170229641 \h </w:instrText>
      </w:r>
      <w:r>
        <w:fldChar w:fldCharType="separate"/>
      </w:r>
      <w:r>
        <w:t>33</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"_Toc170229642" </w:instrText>
      </w:r>
      <w:r>
        <w:fldChar w:fldCharType="separate"/>
      </w:r>
      <w:r>
        <w:rPr>
          <w:rStyle w:val="55"/>
          <w:b/>
          <w:color w:val="auto"/>
        </w:rPr>
        <w:t>11.</w:t>
      </w:r>
      <w:r>
        <w:rPr>
          <w:rFonts w:asciiTheme="minorHAnsi" w:hAnsiTheme="minorHAnsi" w:eastAsiaTheme="minorEastAsia" w:cstheme="minorBidi"/>
          <w:i w:val="0"/>
          <w:iCs w:val="0"/>
          <w:sz w:val="21"/>
          <w:szCs w:val="22"/>
        </w:rPr>
        <w:tab/>
      </w:r>
      <w:r>
        <w:rPr>
          <w:rStyle w:val="55"/>
          <w:rFonts w:hint="eastAsia"/>
          <w:b/>
          <w:color w:val="auto"/>
        </w:rPr>
        <w:t>投标文件的语言及度量衡单位</w:t>
      </w:r>
      <w:r>
        <w:tab/>
      </w:r>
      <w:r>
        <w:fldChar w:fldCharType="begin"/>
      </w:r>
      <w:r>
        <w:instrText xml:space="preserve"> PAGEREF _Toc170229642 \h </w:instrText>
      </w:r>
      <w:r>
        <w:fldChar w:fldCharType="separate"/>
      </w:r>
      <w:r>
        <w:t>33</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"_Toc170229643" </w:instrText>
      </w:r>
      <w:r>
        <w:fldChar w:fldCharType="separate"/>
      </w:r>
      <w:r>
        <w:rPr>
          <w:rStyle w:val="55"/>
          <w:b/>
          <w:color w:val="auto"/>
        </w:rPr>
        <w:t>12.</w:t>
      </w:r>
      <w:r>
        <w:rPr>
          <w:rFonts w:asciiTheme="minorHAnsi" w:hAnsiTheme="minorHAnsi" w:eastAsiaTheme="minorEastAsia" w:cstheme="minorBidi"/>
          <w:i w:val="0"/>
          <w:iCs w:val="0"/>
          <w:sz w:val="21"/>
          <w:szCs w:val="22"/>
        </w:rPr>
        <w:tab/>
      </w:r>
      <w:r>
        <w:rPr>
          <w:rStyle w:val="55"/>
          <w:rFonts w:hint="eastAsia"/>
          <w:b/>
          <w:color w:val="auto"/>
        </w:rPr>
        <w:t>投标文件的组成</w:t>
      </w:r>
      <w:r>
        <w:tab/>
      </w:r>
      <w:r>
        <w:fldChar w:fldCharType="begin"/>
      </w:r>
      <w:r>
        <w:instrText xml:space="preserve"> PAGEREF _Toc170229643 \h </w:instrText>
      </w:r>
      <w:r>
        <w:fldChar w:fldCharType="separate"/>
      </w:r>
      <w:r>
        <w:t>33</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"_Toc170229644" </w:instrText>
      </w:r>
      <w:r>
        <w:fldChar w:fldCharType="separate"/>
      </w:r>
      <w:r>
        <w:rPr>
          <w:rStyle w:val="55"/>
          <w:b/>
          <w:color w:val="auto"/>
        </w:rPr>
        <w:t>13.</w:t>
      </w:r>
      <w:r>
        <w:rPr>
          <w:rFonts w:asciiTheme="minorHAnsi" w:hAnsiTheme="minorHAnsi" w:eastAsiaTheme="minorEastAsia" w:cstheme="minorBidi"/>
          <w:i w:val="0"/>
          <w:iCs w:val="0"/>
          <w:sz w:val="21"/>
          <w:szCs w:val="22"/>
        </w:rPr>
        <w:tab/>
      </w:r>
      <w:r>
        <w:rPr>
          <w:rStyle w:val="55"/>
          <w:rFonts w:hint="eastAsia"/>
          <w:b/>
          <w:color w:val="auto"/>
        </w:rPr>
        <w:t>投标文件格式</w:t>
      </w:r>
      <w:r>
        <w:tab/>
      </w:r>
      <w:r>
        <w:fldChar w:fldCharType="begin"/>
      </w:r>
      <w:r>
        <w:instrText xml:space="preserve"> PAGEREF _Toc170229644 \h </w:instrText>
      </w:r>
      <w:r>
        <w:fldChar w:fldCharType="separate"/>
      </w:r>
      <w:r>
        <w:t>34</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"_Toc170229645" </w:instrText>
      </w:r>
      <w:r>
        <w:fldChar w:fldCharType="separate"/>
      </w:r>
      <w:r>
        <w:rPr>
          <w:rStyle w:val="55"/>
          <w:b/>
          <w:color w:val="auto"/>
        </w:rPr>
        <w:t>14.</w:t>
      </w:r>
      <w:r>
        <w:rPr>
          <w:rFonts w:asciiTheme="minorHAnsi" w:hAnsiTheme="minorHAnsi" w:eastAsiaTheme="minorEastAsia" w:cstheme="minorBidi"/>
          <w:i w:val="0"/>
          <w:iCs w:val="0"/>
          <w:sz w:val="21"/>
          <w:szCs w:val="22"/>
        </w:rPr>
        <w:tab/>
      </w:r>
      <w:r>
        <w:rPr>
          <w:rStyle w:val="55"/>
          <w:rFonts w:hint="eastAsia"/>
          <w:b/>
          <w:color w:val="auto"/>
        </w:rPr>
        <w:t>投标文件的份数和签署</w:t>
      </w:r>
      <w:r>
        <w:tab/>
      </w:r>
      <w:r>
        <w:fldChar w:fldCharType="begin"/>
      </w:r>
      <w:r>
        <w:instrText xml:space="preserve"> PAGEREF _Toc170229645 \h </w:instrText>
      </w:r>
      <w:r>
        <w:fldChar w:fldCharType="separate"/>
      </w:r>
      <w:r>
        <w:t>34</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"_Toc170229646" </w:instrText>
      </w:r>
      <w:r>
        <w:fldChar w:fldCharType="separate"/>
      </w:r>
      <w:r>
        <w:rPr>
          <w:rStyle w:val="55"/>
          <w:b/>
          <w:color w:val="auto"/>
        </w:rPr>
        <w:t>15.</w:t>
      </w:r>
      <w:r>
        <w:rPr>
          <w:rFonts w:asciiTheme="minorHAnsi" w:hAnsiTheme="minorHAnsi" w:eastAsiaTheme="minorEastAsia" w:cstheme="minorBidi"/>
          <w:i w:val="0"/>
          <w:iCs w:val="0"/>
          <w:sz w:val="21"/>
          <w:szCs w:val="22"/>
        </w:rPr>
        <w:tab/>
      </w:r>
      <w:r>
        <w:rPr>
          <w:rStyle w:val="55"/>
          <w:rFonts w:hint="eastAsia"/>
          <w:b/>
          <w:color w:val="auto"/>
        </w:rPr>
        <w:t>投标报价说明</w:t>
      </w:r>
      <w:r>
        <w:tab/>
      </w:r>
      <w:r>
        <w:fldChar w:fldCharType="begin"/>
      </w:r>
      <w:r>
        <w:instrText xml:space="preserve"> PAGEREF _Toc170229646 \h </w:instrText>
      </w:r>
      <w:r>
        <w:fldChar w:fldCharType="separate"/>
      </w:r>
      <w:r>
        <w:t>35</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"_Toc170229647" </w:instrText>
      </w:r>
      <w:r>
        <w:fldChar w:fldCharType="separate"/>
      </w:r>
      <w:r>
        <w:rPr>
          <w:rStyle w:val="55"/>
          <w:b/>
          <w:color w:val="auto"/>
        </w:rPr>
        <w:t>16.</w:t>
      </w:r>
      <w:r>
        <w:rPr>
          <w:rFonts w:asciiTheme="minorHAnsi" w:hAnsiTheme="minorHAnsi" w:eastAsiaTheme="minorEastAsia" w:cstheme="minorBidi"/>
          <w:i w:val="0"/>
          <w:iCs w:val="0"/>
          <w:sz w:val="21"/>
          <w:szCs w:val="22"/>
        </w:rPr>
        <w:tab/>
      </w:r>
      <w:r>
        <w:rPr>
          <w:rStyle w:val="55"/>
          <w:rFonts w:hint="eastAsia"/>
          <w:b/>
          <w:color w:val="auto"/>
        </w:rPr>
        <w:t>投标货币</w:t>
      </w:r>
      <w:r>
        <w:tab/>
      </w:r>
      <w:r>
        <w:fldChar w:fldCharType="begin"/>
      </w:r>
      <w:r>
        <w:instrText xml:space="preserve"> PAGEREF _Toc170229647 \h </w:instrText>
      </w:r>
      <w:r>
        <w:fldChar w:fldCharType="separate"/>
      </w:r>
      <w:r>
        <w:t>35</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"_Toc170229648" </w:instrText>
      </w:r>
      <w:r>
        <w:fldChar w:fldCharType="separate"/>
      </w:r>
      <w:r>
        <w:rPr>
          <w:rStyle w:val="55"/>
          <w:b/>
          <w:color w:val="auto"/>
        </w:rPr>
        <w:t>17.</w:t>
      </w:r>
      <w:r>
        <w:rPr>
          <w:rFonts w:asciiTheme="minorHAnsi" w:hAnsiTheme="minorHAnsi" w:eastAsiaTheme="minorEastAsia" w:cstheme="minorBidi"/>
          <w:i w:val="0"/>
          <w:iCs w:val="0"/>
          <w:sz w:val="21"/>
          <w:szCs w:val="22"/>
        </w:rPr>
        <w:tab/>
      </w:r>
      <w:r>
        <w:rPr>
          <w:rStyle w:val="55"/>
          <w:rFonts w:hint="eastAsia"/>
          <w:b/>
          <w:color w:val="auto"/>
        </w:rPr>
        <w:t>投标有效期</w:t>
      </w:r>
      <w:r>
        <w:tab/>
      </w:r>
      <w:r>
        <w:fldChar w:fldCharType="begin"/>
      </w:r>
      <w:r>
        <w:instrText xml:space="preserve"> PAGEREF _Toc170229648 \h </w:instrText>
      </w:r>
      <w:r>
        <w:fldChar w:fldCharType="separate"/>
      </w:r>
      <w:r>
        <w:t>35</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"_Toc170229649" </w:instrText>
      </w:r>
      <w:r>
        <w:fldChar w:fldCharType="separate"/>
      </w:r>
      <w:r>
        <w:rPr>
          <w:rStyle w:val="55"/>
          <w:b/>
          <w:color w:val="auto"/>
        </w:rPr>
        <w:t>18.</w:t>
      </w:r>
      <w:r>
        <w:rPr>
          <w:rFonts w:asciiTheme="minorHAnsi" w:hAnsiTheme="minorHAnsi" w:eastAsiaTheme="minorEastAsia" w:cstheme="minorBidi"/>
          <w:i w:val="0"/>
          <w:iCs w:val="0"/>
          <w:sz w:val="21"/>
          <w:szCs w:val="22"/>
        </w:rPr>
        <w:tab/>
      </w:r>
      <w:r>
        <w:rPr>
          <w:rStyle w:val="55"/>
          <w:rFonts w:hint="eastAsia"/>
          <w:b/>
          <w:color w:val="auto"/>
        </w:rPr>
        <w:t>投标保证金</w:t>
      </w:r>
      <w:r>
        <w:tab/>
      </w:r>
      <w:r>
        <w:fldChar w:fldCharType="begin"/>
      </w:r>
      <w:r>
        <w:instrText xml:space="preserve"> PAGEREF _Toc170229649 \h </w:instrText>
      </w:r>
      <w:r>
        <w:fldChar w:fldCharType="separate"/>
      </w:r>
      <w:r>
        <w:t>36</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"_Toc170229650" </w:instrText>
      </w:r>
      <w:r>
        <w:fldChar w:fldCharType="separate"/>
      </w:r>
      <w:r>
        <w:rPr>
          <w:rStyle w:val="55"/>
          <w:rFonts w:hint="eastAsia"/>
          <w:b/>
          <w:bCs/>
          <w:color w:val="auto"/>
        </w:rPr>
        <w:t>四、投标文件的递交</w:t>
      </w:r>
      <w:r>
        <w:tab/>
      </w:r>
      <w:r>
        <w:fldChar w:fldCharType="begin"/>
      </w:r>
      <w:r>
        <w:instrText xml:space="preserve"> PAGEREF _Toc170229650 \h </w:instrText>
      </w:r>
      <w:r>
        <w:fldChar w:fldCharType="separate"/>
      </w:r>
      <w:r>
        <w:t>37</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"_Toc170229651" </w:instrText>
      </w:r>
      <w:r>
        <w:fldChar w:fldCharType="separate"/>
      </w:r>
      <w:r>
        <w:rPr>
          <w:rStyle w:val="55"/>
          <w:b/>
          <w:color w:val="auto"/>
        </w:rPr>
        <w:t>19.</w:t>
      </w:r>
      <w:r>
        <w:rPr>
          <w:rFonts w:asciiTheme="minorHAnsi" w:hAnsiTheme="minorHAnsi" w:eastAsiaTheme="minorEastAsia" w:cstheme="minorBidi"/>
          <w:i w:val="0"/>
          <w:iCs w:val="0"/>
          <w:sz w:val="21"/>
          <w:szCs w:val="22"/>
        </w:rPr>
        <w:tab/>
      </w:r>
      <w:r>
        <w:rPr>
          <w:rStyle w:val="55"/>
          <w:rFonts w:hint="eastAsia"/>
          <w:b/>
          <w:color w:val="auto"/>
        </w:rPr>
        <w:t>投标文件的装订、密封和标记</w:t>
      </w:r>
      <w:r>
        <w:tab/>
      </w:r>
      <w:r>
        <w:fldChar w:fldCharType="begin"/>
      </w:r>
      <w:r>
        <w:instrText xml:space="preserve"> PAGEREF _Toc170229651 \h </w:instrText>
      </w:r>
      <w:r>
        <w:fldChar w:fldCharType="separate"/>
      </w:r>
      <w:r>
        <w:t>37</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"_Toc170229652" </w:instrText>
      </w:r>
      <w:r>
        <w:fldChar w:fldCharType="separate"/>
      </w:r>
      <w:r>
        <w:rPr>
          <w:rStyle w:val="55"/>
          <w:b/>
          <w:color w:val="auto"/>
        </w:rPr>
        <w:t>20.</w:t>
      </w:r>
      <w:r>
        <w:rPr>
          <w:rFonts w:asciiTheme="minorHAnsi" w:hAnsiTheme="minorHAnsi" w:eastAsiaTheme="minorEastAsia" w:cstheme="minorBidi"/>
          <w:i w:val="0"/>
          <w:iCs w:val="0"/>
          <w:sz w:val="21"/>
          <w:szCs w:val="22"/>
        </w:rPr>
        <w:tab/>
      </w:r>
      <w:r>
        <w:rPr>
          <w:rStyle w:val="55"/>
          <w:rFonts w:hint="eastAsia"/>
          <w:b/>
          <w:color w:val="auto"/>
        </w:rPr>
        <w:t>投标截止期</w:t>
      </w:r>
      <w:r>
        <w:tab/>
      </w:r>
      <w:r>
        <w:fldChar w:fldCharType="begin"/>
      </w:r>
      <w:r>
        <w:instrText xml:space="preserve"> PAGEREF _Toc170229652 \h </w:instrText>
      </w:r>
      <w:r>
        <w:fldChar w:fldCharType="separate"/>
      </w:r>
      <w:r>
        <w:t>37</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"_Toc170229653" </w:instrText>
      </w:r>
      <w:r>
        <w:fldChar w:fldCharType="separate"/>
      </w:r>
      <w:r>
        <w:rPr>
          <w:rStyle w:val="55"/>
          <w:b/>
          <w:color w:val="auto"/>
        </w:rPr>
        <w:t>21.</w:t>
      </w:r>
      <w:r>
        <w:rPr>
          <w:rFonts w:asciiTheme="minorHAnsi" w:hAnsiTheme="minorHAnsi" w:eastAsiaTheme="minorEastAsia" w:cstheme="minorBidi"/>
          <w:i w:val="0"/>
          <w:iCs w:val="0"/>
          <w:sz w:val="21"/>
          <w:szCs w:val="22"/>
        </w:rPr>
        <w:tab/>
      </w:r>
      <w:r>
        <w:rPr>
          <w:rStyle w:val="55"/>
          <w:rFonts w:hint="eastAsia"/>
          <w:b/>
          <w:color w:val="auto"/>
        </w:rPr>
        <w:t>迟交的投标文件</w:t>
      </w:r>
      <w:r>
        <w:tab/>
      </w:r>
      <w:r>
        <w:fldChar w:fldCharType="begin"/>
      </w:r>
      <w:r>
        <w:instrText xml:space="preserve"> PAGEREF _Toc170229653 \h </w:instrText>
      </w:r>
      <w:r>
        <w:fldChar w:fldCharType="separate"/>
      </w:r>
      <w:r>
        <w:t>38</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"_Toc170229654" </w:instrText>
      </w:r>
      <w:r>
        <w:fldChar w:fldCharType="separate"/>
      </w:r>
      <w:r>
        <w:rPr>
          <w:rStyle w:val="55"/>
          <w:b/>
          <w:color w:val="auto"/>
        </w:rPr>
        <w:t>22.</w:t>
      </w:r>
      <w:r>
        <w:rPr>
          <w:rFonts w:asciiTheme="minorHAnsi" w:hAnsiTheme="minorHAnsi" w:eastAsiaTheme="minorEastAsia" w:cstheme="minorBidi"/>
          <w:i w:val="0"/>
          <w:iCs w:val="0"/>
          <w:sz w:val="21"/>
          <w:szCs w:val="22"/>
        </w:rPr>
        <w:tab/>
      </w:r>
      <w:r>
        <w:rPr>
          <w:rStyle w:val="55"/>
          <w:rFonts w:hint="eastAsia"/>
          <w:b/>
          <w:color w:val="auto"/>
        </w:rPr>
        <w:t>投标文件的补充、修改与撤回</w:t>
      </w:r>
      <w:r>
        <w:tab/>
      </w:r>
      <w:r>
        <w:fldChar w:fldCharType="begin"/>
      </w:r>
      <w:r>
        <w:instrText xml:space="preserve"> PAGEREF _Toc170229654 \h </w:instrText>
      </w:r>
      <w:r>
        <w:fldChar w:fldCharType="separate"/>
      </w:r>
      <w:r>
        <w:t>38</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"_Toc170229655" </w:instrText>
      </w:r>
      <w:r>
        <w:fldChar w:fldCharType="separate"/>
      </w:r>
      <w:r>
        <w:rPr>
          <w:rStyle w:val="55"/>
          <w:rFonts w:hint="eastAsia"/>
          <w:b/>
          <w:bCs/>
          <w:color w:val="auto"/>
        </w:rPr>
        <w:t>五、开标与评标</w:t>
      </w:r>
      <w:r>
        <w:tab/>
      </w:r>
      <w:r>
        <w:fldChar w:fldCharType="begin"/>
      </w:r>
      <w:r>
        <w:instrText xml:space="preserve"> PAGEREF _Toc170229655 \h </w:instrText>
      </w:r>
      <w:r>
        <w:fldChar w:fldCharType="separate"/>
      </w:r>
      <w:r>
        <w:t>38</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"_Toc170229656" </w:instrText>
      </w:r>
      <w:r>
        <w:fldChar w:fldCharType="separate"/>
      </w:r>
      <w:r>
        <w:rPr>
          <w:rStyle w:val="55"/>
          <w:b/>
          <w:color w:val="auto"/>
        </w:rPr>
        <w:t>23.</w:t>
      </w:r>
      <w:r>
        <w:rPr>
          <w:rFonts w:asciiTheme="minorHAnsi" w:hAnsiTheme="minorHAnsi" w:eastAsiaTheme="minorEastAsia" w:cstheme="minorBidi"/>
          <w:i w:val="0"/>
          <w:iCs w:val="0"/>
          <w:sz w:val="21"/>
          <w:szCs w:val="22"/>
        </w:rPr>
        <w:tab/>
      </w:r>
      <w:r>
        <w:rPr>
          <w:rStyle w:val="55"/>
          <w:rFonts w:hint="eastAsia"/>
          <w:b/>
          <w:color w:val="auto"/>
        </w:rPr>
        <w:t>开标</w:t>
      </w:r>
      <w:r>
        <w:tab/>
      </w:r>
      <w:r>
        <w:fldChar w:fldCharType="begin"/>
      </w:r>
      <w:r>
        <w:instrText xml:space="preserve"> PAGEREF _Toc170229656 \h </w:instrText>
      </w:r>
      <w:r>
        <w:fldChar w:fldCharType="separate"/>
      </w:r>
      <w:r>
        <w:t>38</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"_Toc170229657" </w:instrText>
      </w:r>
      <w:r>
        <w:fldChar w:fldCharType="separate"/>
      </w:r>
      <w:r>
        <w:rPr>
          <w:rStyle w:val="55"/>
          <w:b/>
          <w:color w:val="auto"/>
        </w:rPr>
        <w:t>24.</w:t>
      </w:r>
      <w:r>
        <w:rPr>
          <w:rFonts w:asciiTheme="minorHAnsi" w:hAnsiTheme="minorHAnsi" w:eastAsiaTheme="minorEastAsia" w:cstheme="minorBidi"/>
          <w:i w:val="0"/>
          <w:iCs w:val="0"/>
          <w:sz w:val="21"/>
          <w:szCs w:val="22"/>
        </w:rPr>
        <w:tab/>
      </w:r>
      <w:r>
        <w:rPr>
          <w:rStyle w:val="55"/>
          <w:rFonts w:hint="eastAsia"/>
          <w:b/>
          <w:color w:val="auto"/>
        </w:rPr>
        <w:t>资格审查</w:t>
      </w:r>
      <w:r>
        <w:tab/>
      </w:r>
      <w:r>
        <w:fldChar w:fldCharType="begin"/>
      </w:r>
      <w:r>
        <w:instrText xml:space="preserve"> PAGEREF _Toc170229657 \h </w:instrText>
      </w:r>
      <w:r>
        <w:fldChar w:fldCharType="separate"/>
      </w:r>
      <w:r>
        <w:t>39</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"_Toc170229658" </w:instrText>
      </w:r>
      <w:r>
        <w:fldChar w:fldCharType="separate"/>
      </w:r>
      <w:r>
        <w:rPr>
          <w:rStyle w:val="55"/>
          <w:b/>
          <w:color w:val="auto"/>
        </w:rPr>
        <w:t>25.</w:t>
      </w:r>
      <w:r>
        <w:rPr>
          <w:rFonts w:asciiTheme="minorHAnsi" w:hAnsiTheme="minorHAnsi" w:eastAsiaTheme="minorEastAsia" w:cstheme="minorBidi"/>
          <w:i w:val="0"/>
          <w:iCs w:val="0"/>
          <w:sz w:val="21"/>
          <w:szCs w:val="22"/>
        </w:rPr>
        <w:tab/>
      </w:r>
      <w:r>
        <w:rPr>
          <w:rStyle w:val="55"/>
          <w:rFonts w:hint="eastAsia"/>
          <w:b/>
          <w:color w:val="auto"/>
        </w:rPr>
        <w:t>评标委员会及评标方法</w:t>
      </w:r>
      <w:r>
        <w:tab/>
      </w:r>
      <w:r>
        <w:fldChar w:fldCharType="begin"/>
      </w:r>
      <w:r>
        <w:instrText xml:space="preserve"> PAGEREF _Toc170229658 \h </w:instrText>
      </w:r>
      <w:r>
        <w:fldChar w:fldCharType="separate"/>
      </w:r>
      <w:r>
        <w:t>39</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"_Toc170229659" </w:instrText>
      </w:r>
      <w:r>
        <w:fldChar w:fldCharType="separate"/>
      </w:r>
      <w:r>
        <w:rPr>
          <w:rStyle w:val="55"/>
          <w:b/>
          <w:color w:val="auto"/>
        </w:rPr>
        <w:t>26.</w:t>
      </w:r>
      <w:r>
        <w:rPr>
          <w:rFonts w:asciiTheme="minorHAnsi" w:hAnsiTheme="minorHAnsi" w:eastAsiaTheme="minorEastAsia" w:cstheme="minorBidi"/>
          <w:i w:val="0"/>
          <w:iCs w:val="0"/>
          <w:sz w:val="21"/>
          <w:szCs w:val="22"/>
        </w:rPr>
        <w:tab/>
      </w:r>
      <w:r>
        <w:rPr>
          <w:rStyle w:val="55"/>
          <w:rFonts w:hint="eastAsia"/>
          <w:b/>
          <w:color w:val="auto"/>
        </w:rPr>
        <w:t>投标文件的评审</w:t>
      </w:r>
      <w:r>
        <w:tab/>
      </w:r>
      <w:r>
        <w:fldChar w:fldCharType="begin"/>
      </w:r>
      <w:r>
        <w:instrText xml:space="preserve"> PAGEREF _Toc170229659 \h </w:instrText>
      </w:r>
      <w:r>
        <w:fldChar w:fldCharType="separate"/>
      </w:r>
      <w:r>
        <w:t>40</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"_Toc170229660" </w:instrText>
      </w:r>
      <w:r>
        <w:fldChar w:fldCharType="separate"/>
      </w:r>
      <w:r>
        <w:rPr>
          <w:rStyle w:val="55"/>
          <w:rFonts w:hint="eastAsia"/>
          <w:b/>
          <w:bCs/>
          <w:color w:val="auto"/>
        </w:rPr>
        <w:t>六、合同的授予</w:t>
      </w:r>
      <w:r>
        <w:tab/>
      </w:r>
      <w:r>
        <w:fldChar w:fldCharType="begin"/>
      </w:r>
      <w:r>
        <w:instrText xml:space="preserve"> PAGEREF _Toc170229660 \h </w:instrText>
      </w:r>
      <w:r>
        <w:fldChar w:fldCharType="separate"/>
      </w:r>
      <w:r>
        <w:t>45</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"_Toc170229661" </w:instrText>
      </w:r>
      <w:r>
        <w:fldChar w:fldCharType="separate"/>
      </w:r>
      <w:r>
        <w:rPr>
          <w:rStyle w:val="55"/>
          <w:b/>
          <w:color w:val="auto"/>
        </w:rPr>
        <w:t>27.</w:t>
      </w:r>
      <w:r>
        <w:rPr>
          <w:rFonts w:asciiTheme="minorHAnsi" w:hAnsiTheme="minorHAnsi" w:eastAsiaTheme="minorEastAsia" w:cstheme="minorBidi"/>
          <w:i w:val="0"/>
          <w:iCs w:val="0"/>
          <w:sz w:val="21"/>
          <w:szCs w:val="22"/>
        </w:rPr>
        <w:tab/>
      </w:r>
      <w:r>
        <w:rPr>
          <w:rStyle w:val="55"/>
          <w:rFonts w:hint="eastAsia"/>
          <w:b/>
          <w:color w:val="auto"/>
        </w:rPr>
        <w:t>合同授予标准</w:t>
      </w:r>
      <w:r>
        <w:tab/>
      </w:r>
      <w:r>
        <w:fldChar w:fldCharType="begin"/>
      </w:r>
      <w:r>
        <w:instrText xml:space="preserve"> PAGEREF _Toc170229661 \h </w:instrText>
      </w:r>
      <w:r>
        <w:fldChar w:fldCharType="separate"/>
      </w:r>
      <w:r>
        <w:t>45</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"_Toc170229662" </w:instrText>
      </w:r>
      <w:r>
        <w:fldChar w:fldCharType="separate"/>
      </w:r>
      <w:r>
        <w:rPr>
          <w:rStyle w:val="55"/>
          <w:b/>
          <w:color w:val="auto"/>
        </w:rPr>
        <w:t>28.</w:t>
      </w:r>
      <w:r>
        <w:rPr>
          <w:rFonts w:asciiTheme="minorHAnsi" w:hAnsiTheme="minorHAnsi" w:eastAsiaTheme="minorEastAsia" w:cstheme="minorBidi"/>
          <w:i w:val="0"/>
          <w:iCs w:val="0"/>
          <w:sz w:val="21"/>
          <w:szCs w:val="22"/>
        </w:rPr>
        <w:tab/>
      </w:r>
      <w:r>
        <w:rPr>
          <w:rStyle w:val="55"/>
          <w:rFonts w:hint="eastAsia"/>
          <w:b/>
          <w:color w:val="auto"/>
        </w:rPr>
        <w:t>中标公告及中标通知书</w:t>
      </w:r>
      <w:r>
        <w:tab/>
      </w:r>
      <w:r>
        <w:fldChar w:fldCharType="begin"/>
      </w:r>
      <w:r>
        <w:instrText xml:space="preserve"> PAGEREF _Toc170229662 \h </w:instrText>
      </w:r>
      <w:r>
        <w:fldChar w:fldCharType="separate"/>
      </w:r>
      <w:r>
        <w:t>45</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"_Toc170229663" </w:instrText>
      </w:r>
      <w:r>
        <w:fldChar w:fldCharType="separate"/>
      </w:r>
      <w:r>
        <w:rPr>
          <w:rStyle w:val="55"/>
          <w:b/>
          <w:color w:val="auto"/>
        </w:rPr>
        <w:t>29.</w:t>
      </w:r>
      <w:r>
        <w:rPr>
          <w:rFonts w:asciiTheme="minorHAnsi" w:hAnsiTheme="minorHAnsi" w:eastAsiaTheme="minorEastAsia" w:cstheme="minorBidi"/>
          <w:i w:val="0"/>
          <w:iCs w:val="0"/>
          <w:sz w:val="21"/>
          <w:szCs w:val="22"/>
        </w:rPr>
        <w:tab/>
      </w:r>
      <w:r>
        <w:rPr>
          <w:rStyle w:val="55"/>
          <w:rFonts w:hint="eastAsia"/>
          <w:b/>
          <w:color w:val="auto"/>
        </w:rPr>
        <w:t>履约保证金</w:t>
      </w:r>
      <w:r>
        <w:tab/>
      </w:r>
      <w:r>
        <w:fldChar w:fldCharType="begin"/>
      </w:r>
      <w:r>
        <w:instrText xml:space="preserve"> PAGEREF _Toc170229663 \h </w:instrText>
      </w:r>
      <w:r>
        <w:fldChar w:fldCharType="separate"/>
      </w:r>
      <w:r>
        <w:t>46</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"_Toc170229664" </w:instrText>
      </w:r>
      <w:r>
        <w:fldChar w:fldCharType="separate"/>
      </w:r>
      <w:r>
        <w:rPr>
          <w:rStyle w:val="55"/>
          <w:b/>
          <w:color w:val="auto"/>
        </w:rPr>
        <w:t>30.</w:t>
      </w:r>
      <w:r>
        <w:rPr>
          <w:rFonts w:asciiTheme="minorHAnsi" w:hAnsiTheme="minorHAnsi" w:eastAsiaTheme="minorEastAsia" w:cstheme="minorBidi"/>
          <w:i w:val="0"/>
          <w:iCs w:val="0"/>
          <w:sz w:val="21"/>
          <w:szCs w:val="22"/>
        </w:rPr>
        <w:tab/>
      </w:r>
      <w:r>
        <w:rPr>
          <w:rStyle w:val="55"/>
          <w:rFonts w:hint="eastAsia"/>
          <w:b/>
          <w:color w:val="auto"/>
        </w:rPr>
        <w:t>签订合同</w:t>
      </w:r>
      <w:r>
        <w:tab/>
      </w:r>
      <w:r>
        <w:fldChar w:fldCharType="begin"/>
      </w:r>
      <w:r>
        <w:instrText xml:space="preserve"> PAGEREF _Toc170229664 \h </w:instrText>
      </w:r>
      <w:r>
        <w:fldChar w:fldCharType="separate"/>
      </w:r>
      <w:r>
        <w:t>47</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"_Toc170229665" </w:instrText>
      </w:r>
      <w:r>
        <w:fldChar w:fldCharType="separate"/>
      </w:r>
      <w:r>
        <w:rPr>
          <w:rStyle w:val="55"/>
          <w:b/>
          <w:color w:val="auto"/>
        </w:rPr>
        <w:t>31.</w:t>
      </w:r>
      <w:r>
        <w:rPr>
          <w:rFonts w:asciiTheme="minorHAnsi" w:hAnsiTheme="minorHAnsi" w:eastAsiaTheme="minorEastAsia" w:cstheme="minorBidi"/>
          <w:i w:val="0"/>
          <w:iCs w:val="0"/>
          <w:sz w:val="21"/>
          <w:szCs w:val="22"/>
        </w:rPr>
        <w:tab/>
      </w:r>
      <w:r>
        <w:rPr>
          <w:rStyle w:val="55"/>
          <w:rFonts w:hint="eastAsia"/>
          <w:b/>
          <w:color w:val="auto"/>
        </w:rPr>
        <w:t>中标服务费</w:t>
      </w:r>
      <w:r>
        <w:tab/>
      </w:r>
      <w:r>
        <w:fldChar w:fldCharType="begin"/>
      </w:r>
      <w:r>
        <w:instrText xml:space="preserve"> PAGEREF _Toc170229665 \h </w:instrText>
      </w:r>
      <w:r>
        <w:fldChar w:fldCharType="separate"/>
      </w:r>
      <w:r>
        <w:t>47</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"_Toc170229666" </w:instrText>
      </w:r>
      <w:r>
        <w:fldChar w:fldCharType="separate"/>
      </w:r>
      <w:r>
        <w:rPr>
          <w:rStyle w:val="55"/>
          <w:b/>
          <w:color w:val="auto"/>
        </w:rPr>
        <w:t>32.</w:t>
      </w:r>
      <w:r>
        <w:rPr>
          <w:rFonts w:asciiTheme="minorHAnsi" w:hAnsiTheme="minorHAnsi" w:eastAsiaTheme="minorEastAsia" w:cstheme="minorBidi"/>
          <w:i w:val="0"/>
          <w:iCs w:val="0"/>
          <w:sz w:val="21"/>
          <w:szCs w:val="22"/>
        </w:rPr>
        <w:tab/>
      </w:r>
      <w:r>
        <w:rPr>
          <w:rStyle w:val="55"/>
          <w:rFonts w:hint="eastAsia"/>
          <w:b/>
          <w:color w:val="auto"/>
        </w:rPr>
        <w:t>其他</w:t>
      </w:r>
      <w:r>
        <w:tab/>
      </w:r>
      <w:r>
        <w:fldChar w:fldCharType="begin"/>
      </w:r>
      <w:r>
        <w:instrText xml:space="preserve"> PAGEREF _Toc170229666 \h </w:instrText>
      </w:r>
      <w:r>
        <w:fldChar w:fldCharType="separate"/>
      </w:r>
      <w:r>
        <w:t>47</w:t>
      </w:r>
      <w:r>
        <w:fldChar w:fldCharType="end"/>
      </w:r>
      <w:r>
        <w:fldChar w:fldCharType="end"/>
      </w:r>
    </w:p>
    <w:p>
      <w:pPr>
        <w:pStyle w:val="23"/>
        <w:tabs>
          <w:tab w:val="left" w:pos="1050"/>
          <w:tab w:val="right" w:leader="dot" w:pos="8302"/>
        </w:tabs>
        <w:rPr>
          <w:rFonts w:asciiTheme="minorHAnsi" w:hAnsiTheme="minorHAnsi" w:eastAsiaTheme="minorEastAsia" w:cstheme="minorBidi"/>
          <w:i w:val="0"/>
          <w:iCs w:val="0"/>
          <w:sz w:val="21"/>
          <w:szCs w:val="22"/>
        </w:rPr>
      </w:pPr>
      <w:r>
        <w:fldChar w:fldCharType="begin"/>
      </w:r>
      <w:r>
        <w:instrText xml:space="preserve"> HYPERLINK \l "_Toc170229667" </w:instrText>
      </w:r>
      <w:r>
        <w:fldChar w:fldCharType="separate"/>
      </w:r>
      <w:r>
        <w:rPr>
          <w:rStyle w:val="55"/>
          <w:b/>
          <w:color w:val="auto"/>
        </w:rPr>
        <w:t>33.</w:t>
      </w:r>
      <w:r>
        <w:rPr>
          <w:rFonts w:asciiTheme="minorHAnsi" w:hAnsiTheme="minorHAnsi" w:eastAsiaTheme="minorEastAsia" w:cstheme="minorBidi"/>
          <w:i w:val="0"/>
          <w:iCs w:val="0"/>
          <w:sz w:val="21"/>
          <w:szCs w:val="22"/>
        </w:rPr>
        <w:tab/>
      </w:r>
      <w:r>
        <w:rPr>
          <w:rStyle w:val="55"/>
          <w:rFonts w:hint="eastAsia"/>
          <w:b/>
          <w:color w:val="auto"/>
        </w:rPr>
        <w:t>招标文件的解释权</w:t>
      </w:r>
      <w:r>
        <w:tab/>
      </w:r>
      <w:r>
        <w:fldChar w:fldCharType="begin"/>
      </w:r>
      <w:r>
        <w:instrText xml:space="preserve"> PAGEREF _Toc170229667 \h </w:instrText>
      </w:r>
      <w:r>
        <w:fldChar w:fldCharType="separate"/>
      </w:r>
      <w:r>
        <w:t>48</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"_Toc170229668" </w:instrText>
      </w:r>
      <w:r>
        <w:fldChar w:fldCharType="separate"/>
      </w:r>
      <w:r>
        <w:rPr>
          <w:rStyle w:val="55"/>
          <w:rFonts w:hint="eastAsia"/>
          <w:b/>
          <w:bCs/>
          <w:color w:val="auto"/>
        </w:rPr>
        <w:t>第六部分</w:t>
      </w:r>
      <w:r>
        <w:rPr>
          <w:rStyle w:val="55"/>
          <w:b/>
          <w:bCs/>
          <w:color w:val="auto"/>
        </w:rPr>
        <w:t xml:space="preserve">  </w:t>
      </w:r>
      <w:r>
        <w:rPr>
          <w:rStyle w:val="55"/>
          <w:rFonts w:hint="eastAsia"/>
          <w:b/>
          <w:bCs/>
          <w:color w:val="auto"/>
        </w:rPr>
        <w:t>合同格式</w:t>
      </w:r>
      <w:r>
        <w:tab/>
      </w:r>
      <w:r>
        <w:fldChar w:fldCharType="begin"/>
      </w:r>
      <w:r>
        <w:instrText xml:space="preserve"> PAGEREF _Toc170229668 \h </w:instrText>
      </w:r>
      <w:r>
        <w:fldChar w:fldCharType="separate"/>
      </w:r>
      <w:r>
        <w:t>49</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"_Toc170229669" </w:instrText>
      </w:r>
      <w:r>
        <w:fldChar w:fldCharType="separate"/>
      </w:r>
      <w:r>
        <w:rPr>
          <w:rStyle w:val="55"/>
          <w:rFonts w:hint="eastAsia"/>
          <w:b/>
          <w:bCs/>
          <w:color w:val="auto"/>
        </w:rPr>
        <w:t>第七部分</w:t>
      </w:r>
      <w:r>
        <w:rPr>
          <w:rStyle w:val="55"/>
          <w:b/>
          <w:bCs/>
          <w:color w:val="auto"/>
        </w:rPr>
        <w:t xml:space="preserve">  </w:t>
      </w:r>
      <w:r>
        <w:rPr>
          <w:rStyle w:val="55"/>
          <w:rFonts w:hint="eastAsia"/>
          <w:b/>
          <w:bCs/>
          <w:color w:val="auto"/>
        </w:rPr>
        <w:t>投标文件格式</w:t>
      </w:r>
      <w:r>
        <w:tab/>
      </w:r>
      <w:r>
        <w:fldChar w:fldCharType="begin"/>
      </w:r>
      <w:r>
        <w:instrText xml:space="preserve"> PAGEREF _Toc170229669 \h </w:instrText>
      </w:r>
      <w:r>
        <w:fldChar w:fldCharType="separate"/>
      </w:r>
      <w:r>
        <w:t>55</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"_Toc170229670" </w:instrText>
      </w:r>
      <w:r>
        <w:fldChar w:fldCharType="separate"/>
      </w:r>
      <w:r>
        <w:rPr>
          <w:rStyle w:val="55"/>
          <w:rFonts w:hint="eastAsia"/>
          <w:b/>
          <w:bCs/>
          <w:color w:val="auto"/>
        </w:rPr>
        <w:t>一、投标函</w:t>
      </w:r>
      <w:r>
        <w:tab/>
      </w:r>
      <w:r>
        <w:fldChar w:fldCharType="begin"/>
      </w:r>
      <w:r>
        <w:instrText xml:space="preserve"> PAGEREF _Toc170229670 \h </w:instrText>
      </w:r>
      <w:r>
        <w:fldChar w:fldCharType="separate"/>
      </w:r>
      <w:r>
        <w:t>57</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"_Toc170229671" </w:instrText>
      </w:r>
      <w:r>
        <w:fldChar w:fldCharType="separate"/>
      </w:r>
      <w:r>
        <w:rPr>
          <w:rStyle w:val="55"/>
          <w:rFonts w:hint="eastAsia"/>
          <w:b/>
          <w:bCs/>
          <w:color w:val="auto"/>
        </w:rPr>
        <w:t>二、开标一览表</w:t>
      </w:r>
      <w:r>
        <w:tab/>
      </w:r>
      <w:r>
        <w:fldChar w:fldCharType="begin"/>
      </w:r>
      <w:r>
        <w:instrText xml:space="preserve"> PAGEREF _Toc170229671 \h </w:instrText>
      </w:r>
      <w:r>
        <w:fldChar w:fldCharType="separate"/>
      </w:r>
      <w:r>
        <w:t>58</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"_Toc170229672" </w:instrText>
      </w:r>
      <w:r>
        <w:fldChar w:fldCharType="separate"/>
      </w:r>
      <w:r>
        <w:rPr>
          <w:rStyle w:val="55"/>
          <w:rFonts w:hint="eastAsia" w:ascii="Time New Roma" w:hAnsi="Time New Roma"/>
          <w:b/>
          <w:bCs/>
          <w:color w:val="auto"/>
        </w:rPr>
        <w:t>三、报价明细表</w:t>
      </w:r>
      <w:r>
        <w:tab/>
      </w:r>
      <w:r>
        <w:fldChar w:fldCharType="begin"/>
      </w:r>
      <w:r>
        <w:instrText xml:space="preserve"> PAGEREF _Toc170229672 \h </w:instrText>
      </w:r>
      <w:r>
        <w:fldChar w:fldCharType="separate"/>
      </w:r>
      <w:r>
        <w:t>59</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"_Toc170229673" </w:instrText>
      </w:r>
      <w:r>
        <w:fldChar w:fldCharType="separate"/>
      </w:r>
      <w:r>
        <w:rPr>
          <w:rStyle w:val="55"/>
          <w:rFonts w:hint="eastAsia"/>
          <w:b/>
          <w:bCs/>
          <w:color w:val="auto"/>
        </w:rPr>
        <w:t>四、承诺书</w:t>
      </w:r>
      <w:r>
        <w:tab/>
      </w:r>
      <w:r>
        <w:fldChar w:fldCharType="begin"/>
      </w:r>
      <w:r>
        <w:instrText xml:space="preserve"> PAGEREF _Toc170229673 \h </w:instrText>
      </w:r>
      <w:r>
        <w:fldChar w:fldCharType="separate"/>
      </w:r>
      <w:r>
        <w:t>60</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"_Toc170229674" </w:instrText>
      </w:r>
      <w:r>
        <w:fldChar w:fldCharType="separate"/>
      </w:r>
      <w:r>
        <w:rPr>
          <w:rStyle w:val="55"/>
          <w:rFonts w:hint="eastAsia"/>
          <w:b/>
          <w:bCs/>
          <w:color w:val="auto"/>
        </w:rPr>
        <w:t>五、投标人资格证明文件</w:t>
      </w:r>
      <w:r>
        <w:tab/>
      </w:r>
      <w:r>
        <w:fldChar w:fldCharType="begin"/>
      </w:r>
      <w:r>
        <w:instrText xml:space="preserve"> PAGEREF _Toc170229674 \h </w:instrText>
      </w:r>
      <w:r>
        <w:fldChar w:fldCharType="separate"/>
      </w:r>
      <w:r>
        <w:t>61</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"_Toc170229675" </w:instrText>
      </w:r>
      <w:r>
        <w:fldChar w:fldCharType="separate"/>
      </w:r>
      <w:r>
        <w:rPr>
          <w:rStyle w:val="55"/>
          <w:rFonts w:hint="eastAsia" w:ascii="Time New Roma" w:hAnsi="Time New Roma"/>
          <w:b/>
          <w:bCs/>
          <w:color w:val="auto"/>
        </w:rPr>
        <w:t>六、商务条款偏离表</w:t>
      </w:r>
      <w:r>
        <w:tab/>
      </w:r>
      <w:r>
        <w:fldChar w:fldCharType="begin"/>
      </w:r>
      <w:r>
        <w:instrText xml:space="preserve"> PAGEREF _Toc170229675 \h </w:instrText>
      </w:r>
      <w:r>
        <w:fldChar w:fldCharType="separate"/>
      </w:r>
      <w:r>
        <w:t>67</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"_Toc170229676" </w:instrText>
      </w:r>
      <w:r>
        <w:fldChar w:fldCharType="separate"/>
      </w:r>
      <w:r>
        <w:rPr>
          <w:rStyle w:val="55"/>
          <w:rFonts w:hint="eastAsia" w:ascii="Time New Roma" w:hAnsi="Time New Roma"/>
          <w:b/>
          <w:bCs/>
          <w:color w:val="auto"/>
        </w:rPr>
        <w:t>七、服务方案</w:t>
      </w:r>
      <w:r>
        <w:tab/>
      </w:r>
      <w:r>
        <w:fldChar w:fldCharType="begin"/>
      </w:r>
      <w:r>
        <w:instrText xml:space="preserve"> PAGEREF _Toc170229676 \h </w:instrText>
      </w:r>
      <w:r>
        <w:fldChar w:fldCharType="separate"/>
      </w:r>
      <w:r>
        <w:t>68</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"_Toc170229677" </w:instrText>
      </w:r>
      <w:r>
        <w:fldChar w:fldCharType="separate"/>
      </w:r>
      <w:r>
        <w:rPr>
          <w:rStyle w:val="55"/>
          <w:rFonts w:hint="eastAsia" w:ascii="Time New Roma" w:hAnsi="Time New Roma"/>
          <w:b/>
          <w:bCs/>
          <w:color w:val="auto"/>
        </w:rPr>
        <w:t>八、技术规格偏离表</w:t>
      </w:r>
      <w:r>
        <w:tab/>
      </w:r>
      <w:r>
        <w:fldChar w:fldCharType="begin"/>
      </w:r>
      <w:r>
        <w:instrText xml:space="preserve"> PAGEREF _Toc170229677 \h </w:instrText>
      </w:r>
      <w:r>
        <w:fldChar w:fldCharType="separate"/>
      </w:r>
      <w:r>
        <w:t>70</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"_Toc170229678" </w:instrText>
      </w:r>
      <w:r>
        <w:fldChar w:fldCharType="separate"/>
      </w:r>
      <w:r>
        <w:rPr>
          <w:rStyle w:val="55"/>
          <w:rFonts w:hint="eastAsia" w:ascii="Time New Roma" w:hAnsi="Time New Roma"/>
          <w:b/>
          <w:bCs/>
          <w:color w:val="auto"/>
        </w:rPr>
        <w:t>九、中小企业声明函（可选）</w:t>
      </w:r>
      <w:r>
        <w:tab/>
      </w:r>
      <w:r>
        <w:fldChar w:fldCharType="begin"/>
      </w:r>
      <w:r>
        <w:instrText xml:space="preserve"> PAGEREF _Toc170229678 \h </w:instrText>
      </w:r>
      <w:r>
        <w:fldChar w:fldCharType="separate"/>
      </w:r>
      <w:r>
        <w:t>71</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"_Toc170229679" </w:instrText>
      </w:r>
      <w:r>
        <w:fldChar w:fldCharType="separate"/>
      </w:r>
      <w:r>
        <w:rPr>
          <w:rStyle w:val="55"/>
          <w:rFonts w:hint="eastAsia" w:ascii="Time New Roma" w:hAnsi="Time New Roma"/>
          <w:b/>
          <w:bCs/>
          <w:color w:val="auto"/>
        </w:rPr>
        <w:t>十、残疾人福利性单位声明函（可选）</w:t>
      </w:r>
      <w:r>
        <w:tab/>
      </w:r>
      <w:r>
        <w:fldChar w:fldCharType="begin"/>
      </w:r>
      <w:r>
        <w:instrText xml:space="preserve"> PAGEREF _Toc170229679 \h </w:instrText>
      </w:r>
      <w:r>
        <w:fldChar w:fldCharType="separate"/>
      </w:r>
      <w:r>
        <w:t>72</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"_Toc170229680" </w:instrText>
      </w:r>
      <w:r>
        <w:fldChar w:fldCharType="separate"/>
      </w:r>
      <w:r>
        <w:rPr>
          <w:rStyle w:val="55"/>
          <w:rFonts w:hint="eastAsia" w:ascii="Time New Roma" w:hAnsi="Time New Roma"/>
          <w:b/>
          <w:bCs/>
          <w:color w:val="auto"/>
        </w:rPr>
        <w:t>十一、中标服务费承诺书</w:t>
      </w:r>
      <w:r>
        <w:tab/>
      </w:r>
      <w:r>
        <w:fldChar w:fldCharType="begin"/>
      </w:r>
      <w:r>
        <w:instrText xml:space="preserve"> PAGEREF _Toc170229680 \h </w:instrText>
      </w:r>
      <w:r>
        <w:fldChar w:fldCharType="separate"/>
      </w:r>
      <w:r>
        <w:t>73</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"_Toc170229681" </w:instrText>
      </w:r>
      <w:r>
        <w:fldChar w:fldCharType="separate"/>
      </w:r>
      <w:r>
        <w:rPr>
          <w:rStyle w:val="55"/>
          <w:rFonts w:hint="eastAsia" w:ascii="Time New Roma" w:hAnsi="Time New Roma"/>
          <w:b/>
          <w:bCs/>
          <w:color w:val="auto"/>
        </w:rPr>
        <w:t>十二、投标保证金汇入情况说明</w:t>
      </w:r>
      <w:r>
        <w:tab/>
      </w:r>
      <w:r>
        <w:fldChar w:fldCharType="begin"/>
      </w:r>
      <w:r>
        <w:instrText xml:space="preserve"> PAGEREF _Toc170229681 \h </w:instrText>
      </w:r>
      <w:r>
        <w:fldChar w:fldCharType="separate"/>
      </w:r>
      <w:r>
        <w:t>74</w:t>
      </w:r>
      <w:r>
        <w:fldChar w:fldCharType="end"/>
      </w:r>
      <w:r>
        <w:fldChar w:fldCharType="end"/>
      </w:r>
    </w:p>
    <w:p>
      <w:pPr>
        <w:pStyle w:val="40"/>
        <w:tabs>
          <w:tab w:val="right" w:leader="dot" w:pos="8302"/>
        </w:tabs>
        <w:rPr>
          <w:rFonts w:asciiTheme="minorHAnsi" w:hAnsiTheme="minorHAnsi" w:eastAsiaTheme="minorEastAsia" w:cstheme="minorBidi"/>
          <w:smallCaps w:val="0"/>
          <w:sz w:val="21"/>
          <w:szCs w:val="22"/>
        </w:rPr>
      </w:pPr>
      <w:r>
        <w:fldChar w:fldCharType="begin"/>
      </w:r>
      <w:r>
        <w:instrText xml:space="preserve"> HYPERLINK \l "_Toc170229682" </w:instrText>
      </w:r>
      <w:r>
        <w:fldChar w:fldCharType="separate"/>
      </w:r>
      <w:r>
        <w:rPr>
          <w:rStyle w:val="55"/>
          <w:rFonts w:hint="eastAsia" w:ascii="Time New Roma" w:hAnsi="Time New Roma"/>
          <w:b/>
          <w:bCs/>
          <w:color w:val="auto"/>
        </w:rPr>
        <w:t>唱标信封</w:t>
      </w:r>
      <w:r>
        <w:tab/>
      </w:r>
      <w:r>
        <w:fldChar w:fldCharType="begin"/>
      </w:r>
      <w:r>
        <w:instrText xml:space="preserve"> PAGEREF _Toc170229682 \h </w:instrText>
      </w:r>
      <w:r>
        <w:fldChar w:fldCharType="separate"/>
      </w:r>
      <w:r>
        <w:t>75</w:t>
      </w:r>
      <w:r>
        <w:fldChar w:fldCharType="end"/>
      </w:r>
      <w:r>
        <w:fldChar w:fldCharType="end"/>
      </w:r>
    </w:p>
    <w:p>
      <w:pPr>
        <w:spacing w:line="440" w:lineRule="exact"/>
        <w:jc w:val="center"/>
        <w:rPr>
          <w:rFonts w:eastAsia="黑体"/>
          <w:b/>
          <w:bCs/>
          <w:sz w:val="36"/>
        </w:rPr>
      </w:pPr>
      <w:r>
        <w:rPr>
          <w:rFonts w:eastAsia="黑体"/>
          <w:caps/>
          <w:sz w:val="36"/>
          <w:szCs w:val="20"/>
        </w:rPr>
        <w:fldChar w:fldCharType="end"/>
      </w:r>
      <w:r>
        <w:rPr>
          <w:rFonts w:eastAsia="黑体"/>
          <w:b/>
          <w:bCs/>
          <w:sz w:val="36"/>
        </w:rPr>
        <w:br w:type="page"/>
      </w: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jc w:val="center"/>
        <w:outlineLvl w:val="0"/>
        <w:rPr>
          <w:rFonts w:eastAsia="黑体"/>
          <w:b/>
          <w:bCs/>
          <w:sz w:val="72"/>
          <w:szCs w:val="72"/>
        </w:rPr>
      </w:pPr>
      <w:bookmarkStart w:id="2" w:name="_Toc10124619"/>
      <w:bookmarkStart w:id="3" w:name="_Toc170229622"/>
      <w:r>
        <w:rPr>
          <w:rFonts w:hint="eastAsia" w:eastAsia="黑体"/>
          <w:b/>
          <w:bCs/>
          <w:sz w:val="72"/>
          <w:szCs w:val="72"/>
        </w:rPr>
        <w:t>第一册</w:t>
      </w:r>
      <w:bookmarkEnd w:id="2"/>
      <w:bookmarkEnd w:id="3"/>
    </w:p>
    <w:p>
      <w:pPr>
        <w:spacing w:line="440" w:lineRule="exact"/>
        <w:jc w:val="center"/>
        <w:rPr>
          <w:rFonts w:eastAsia="黑体"/>
          <w:b/>
          <w:bCs/>
          <w:sz w:val="36"/>
        </w:rPr>
      </w:pPr>
      <w:r>
        <w:rPr>
          <w:rFonts w:eastAsia="黑体"/>
          <w:b/>
          <w:bCs/>
          <w:sz w:val="36"/>
        </w:rPr>
        <w:br w:type="page"/>
      </w: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outlineLvl w:val="1"/>
        <w:rPr>
          <w:b/>
          <w:bCs/>
          <w:sz w:val="44"/>
          <w:szCs w:val="44"/>
        </w:rPr>
      </w:pPr>
      <w:bookmarkStart w:id="4" w:name="_Toc10124620"/>
      <w:bookmarkStart w:id="5" w:name="_Toc170229623"/>
      <w:r>
        <w:rPr>
          <w:rFonts w:hint="eastAsia"/>
          <w:b/>
          <w:bCs/>
          <w:sz w:val="44"/>
          <w:szCs w:val="44"/>
        </w:rPr>
        <w:t>第一部分  投标邀请</w:t>
      </w:r>
      <w:bookmarkEnd w:id="4"/>
      <w:bookmarkEnd w:id="5"/>
    </w:p>
    <w:p>
      <w:pPr>
        <w:spacing w:line="440" w:lineRule="exact"/>
        <w:jc w:val="center"/>
        <w:rPr>
          <w:b/>
          <w:bCs/>
          <w:sz w:val="44"/>
          <w:szCs w:val="44"/>
        </w:rPr>
      </w:pPr>
      <w:r>
        <w:rPr>
          <w:b/>
          <w:bCs/>
          <w:sz w:val="44"/>
          <w:szCs w:val="44"/>
        </w:rPr>
        <w:br w:type="page"/>
      </w:r>
      <w:r>
        <w:rPr>
          <w:rFonts w:hint="eastAsia"/>
          <w:b/>
          <w:bCs/>
          <w:sz w:val="44"/>
          <w:szCs w:val="44"/>
        </w:rPr>
        <w:t>投标邀请</w:t>
      </w:r>
    </w:p>
    <w:p>
      <w:pPr>
        <w:pStyle w:val="114"/>
        <w:wordWrap w:val="0"/>
        <w:spacing w:line="52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广东中元招标代理有限公司（以下简称“采购代理机构”）受东莞市民政局（以下简称“采购人”）委托，现就</w:t>
      </w:r>
      <w:r>
        <w:rPr>
          <w:rFonts w:hint="eastAsia" w:ascii="Times New Roman" w:hAnsi="Times New Roman" w:eastAsia="宋体"/>
          <w:bCs/>
          <w:sz w:val="24"/>
          <w:szCs w:val="24"/>
        </w:rPr>
        <w:t>民政资金发放与监管信息平台服务项目（采购编号：</w:t>
      </w:r>
      <w:r>
        <w:rPr>
          <w:rFonts w:ascii="Times New Roman" w:hAnsi="Times New Roman" w:eastAsia="宋体"/>
          <w:bCs/>
          <w:sz w:val="24"/>
          <w:szCs w:val="24"/>
        </w:rPr>
        <w:t>ZYDG-24-134</w:t>
      </w:r>
      <w:r>
        <w:rPr>
          <w:rFonts w:hint="eastAsia" w:ascii="Times New Roman" w:hAnsi="Times New Roman" w:eastAsia="宋体"/>
          <w:bCs/>
          <w:sz w:val="24"/>
          <w:szCs w:val="24"/>
        </w:rPr>
        <w:t>）</w:t>
      </w:r>
      <w:r>
        <w:rPr>
          <w:rFonts w:hint="eastAsia" w:ascii="Times New Roman" w:hAnsi="Times New Roman" w:eastAsia="宋体"/>
          <w:sz w:val="24"/>
          <w:szCs w:val="24"/>
        </w:rPr>
        <w:t>进行国内公开招标采购，欢迎有实施能力和资质的国内供应商参加投标。有关事项如下：</w:t>
      </w:r>
    </w:p>
    <w:p>
      <w:pPr>
        <w:pStyle w:val="114"/>
        <w:spacing w:line="440" w:lineRule="exact"/>
        <w:ind w:firstLine="482" w:firstLineChars="200"/>
        <w:jc w:val="left"/>
        <w:rPr>
          <w:rFonts w:ascii="Times New Roman" w:hAnsi="Times New Roman" w:eastAsia="宋体"/>
          <w:b/>
          <w:sz w:val="24"/>
        </w:rPr>
      </w:pPr>
      <w:r>
        <w:rPr>
          <w:rFonts w:hint="eastAsia" w:ascii="Times New Roman" w:hAnsi="Times New Roman" w:eastAsia="宋体"/>
          <w:b/>
          <w:sz w:val="24"/>
        </w:rPr>
        <w:t>一、项目内容及简要技术要求：</w:t>
      </w:r>
    </w:p>
    <w:p>
      <w:pPr>
        <w:pStyle w:val="114"/>
        <w:spacing w:line="440" w:lineRule="exact"/>
        <w:ind w:firstLine="494"/>
        <w:jc w:val="left"/>
        <w:rPr>
          <w:rFonts w:ascii="Times New Roman" w:hAnsi="Times New Roman" w:eastAsia="宋体"/>
          <w:sz w:val="24"/>
          <w:szCs w:val="24"/>
        </w:rPr>
      </w:pPr>
      <w:r>
        <w:rPr>
          <w:rFonts w:hint="eastAsia" w:ascii="Times New Roman" w:hAnsi="Times New Roman" w:eastAsia="宋体"/>
          <w:sz w:val="24"/>
          <w:szCs w:val="24"/>
        </w:rPr>
        <w:t>1、项目内容：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921"/>
        <w:gridCol w:w="2612"/>
        <w:gridCol w:w="612"/>
        <w:gridCol w:w="612"/>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14"/>
              <w:wordWrap w:val="0"/>
              <w:spacing w:line="240" w:lineRule="auto"/>
              <w:ind w:firstLine="0" w:firstLineChars="0"/>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0" w:type="auto"/>
            <w:vAlign w:val="center"/>
          </w:tcPr>
          <w:p>
            <w:pPr>
              <w:pStyle w:val="114"/>
              <w:wordWrap w:val="0"/>
              <w:spacing w:line="240" w:lineRule="auto"/>
              <w:ind w:firstLine="0" w:firstLineChars="0"/>
              <w:jc w:val="center"/>
              <w:rPr>
                <w:rFonts w:ascii="Times New Roman" w:hAnsi="Times New Roman" w:eastAsia="宋体"/>
                <w:b/>
                <w:sz w:val="24"/>
                <w:szCs w:val="24"/>
              </w:rPr>
            </w:pPr>
            <w:r>
              <w:rPr>
                <w:rFonts w:hint="eastAsia" w:ascii="Times New Roman" w:hAnsi="Times New Roman" w:eastAsia="宋体"/>
                <w:b/>
                <w:sz w:val="24"/>
                <w:szCs w:val="24"/>
              </w:rPr>
              <w:t>品目名称</w:t>
            </w:r>
          </w:p>
        </w:tc>
        <w:tc>
          <w:tcPr>
            <w:tcW w:w="0" w:type="auto"/>
            <w:vAlign w:val="center"/>
          </w:tcPr>
          <w:p>
            <w:pPr>
              <w:pStyle w:val="114"/>
              <w:wordWrap w:val="0"/>
              <w:spacing w:line="240" w:lineRule="auto"/>
              <w:ind w:firstLine="0" w:firstLineChars="0"/>
              <w:jc w:val="center"/>
              <w:rPr>
                <w:rFonts w:ascii="Times New Roman" w:hAnsi="Times New Roman" w:eastAsia="宋体"/>
                <w:b/>
                <w:sz w:val="24"/>
                <w:szCs w:val="24"/>
              </w:rPr>
            </w:pPr>
            <w:r>
              <w:rPr>
                <w:rFonts w:hint="eastAsia" w:ascii="Times New Roman" w:hAnsi="Times New Roman" w:eastAsia="宋体"/>
                <w:b/>
                <w:sz w:val="24"/>
                <w:szCs w:val="24"/>
              </w:rPr>
              <w:t>标的名称</w:t>
            </w:r>
          </w:p>
        </w:tc>
        <w:tc>
          <w:tcPr>
            <w:tcW w:w="0" w:type="auto"/>
            <w:vAlign w:val="center"/>
          </w:tcPr>
          <w:p>
            <w:pPr>
              <w:pStyle w:val="114"/>
              <w:wordWrap w:val="0"/>
              <w:spacing w:line="240" w:lineRule="auto"/>
              <w:ind w:firstLine="0" w:firstLineChars="0"/>
              <w:jc w:val="center"/>
              <w:rPr>
                <w:rFonts w:ascii="Times New Roman" w:hAnsi="Times New Roman" w:eastAsia="宋体"/>
                <w:b/>
                <w:sz w:val="24"/>
                <w:szCs w:val="24"/>
              </w:rPr>
            </w:pPr>
            <w:r>
              <w:rPr>
                <w:rFonts w:hint="eastAsia" w:ascii="Times New Roman" w:hAnsi="Times New Roman" w:eastAsia="宋体"/>
                <w:b/>
                <w:sz w:val="24"/>
                <w:szCs w:val="24"/>
              </w:rPr>
              <w:t>单位</w:t>
            </w:r>
          </w:p>
        </w:tc>
        <w:tc>
          <w:tcPr>
            <w:tcW w:w="0" w:type="auto"/>
            <w:vAlign w:val="center"/>
          </w:tcPr>
          <w:p>
            <w:pPr>
              <w:pStyle w:val="114"/>
              <w:wordWrap w:val="0"/>
              <w:spacing w:line="240" w:lineRule="auto"/>
              <w:ind w:firstLine="0" w:firstLineChars="0"/>
              <w:jc w:val="center"/>
              <w:rPr>
                <w:rFonts w:ascii="Times New Roman" w:hAnsi="Times New Roman" w:eastAsia="宋体"/>
                <w:b/>
                <w:sz w:val="24"/>
                <w:szCs w:val="24"/>
              </w:rPr>
            </w:pPr>
            <w:r>
              <w:rPr>
                <w:rFonts w:hint="eastAsia" w:ascii="Times New Roman" w:hAnsi="Times New Roman" w:eastAsia="宋体"/>
                <w:b/>
                <w:sz w:val="24"/>
                <w:szCs w:val="24"/>
              </w:rPr>
              <w:t>数量</w:t>
            </w:r>
          </w:p>
        </w:tc>
        <w:tc>
          <w:tcPr>
            <w:tcW w:w="0" w:type="auto"/>
            <w:vAlign w:val="center"/>
          </w:tcPr>
          <w:p>
            <w:pPr>
              <w:pStyle w:val="114"/>
              <w:wordWrap w:val="0"/>
              <w:spacing w:line="240" w:lineRule="auto"/>
              <w:ind w:firstLine="0" w:firstLineChars="0"/>
              <w:jc w:val="center"/>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14"/>
              <w:wordWrap w:val="0"/>
              <w:spacing w:line="240" w:lineRule="auto"/>
              <w:ind w:firstLine="0" w:firstLineChars="0"/>
              <w:jc w:val="center"/>
              <w:rPr>
                <w:rFonts w:ascii="Times New Roman" w:hAnsi="Times New Roman" w:eastAsia="宋体"/>
                <w:sz w:val="24"/>
                <w:szCs w:val="24"/>
              </w:rPr>
            </w:pPr>
            <w:r>
              <w:rPr>
                <w:rFonts w:hint="eastAsia" w:ascii="Times New Roman" w:hAnsi="Times New Roman" w:eastAsia="宋体"/>
                <w:sz w:val="24"/>
                <w:szCs w:val="24"/>
              </w:rPr>
              <w:t>1</w:t>
            </w:r>
          </w:p>
        </w:tc>
        <w:tc>
          <w:tcPr>
            <w:tcW w:w="0" w:type="auto"/>
            <w:vAlign w:val="center"/>
          </w:tcPr>
          <w:p>
            <w:pPr>
              <w:pStyle w:val="114"/>
              <w:wordWrap w:val="0"/>
              <w:spacing w:line="240" w:lineRule="auto"/>
              <w:ind w:firstLine="0" w:firstLineChars="0"/>
              <w:jc w:val="center"/>
              <w:rPr>
                <w:rFonts w:ascii="Times New Roman" w:hAnsi="Times New Roman" w:eastAsia="宋体"/>
                <w:sz w:val="24"/>
                <w:szCs w:val="24"/>
              </w:rPr>
            </w:pPr>
            <w:r>
              <w:rPr>
                <w:rFonts w:hint="eastAsia" w:ascii="Times New Roman" w:hAnsi="Times New Roman" w:eastAsia="宋体"/>
                <w:sz w:val="24"/>
                <w:szCs w:val="24"/>
              </w:rPr>
              <w:t>其他服务</w:t>
            </w:r>
          </w:p>
        </w:tc>
        <w:tc>
          <w:tcPr>
            <w:tcW w:w="0" w:type="auto"/>
            <w:vAlign w:val="center"/>
          </w:tcPr>
          <w:p>
            <w:pPr>
              <w:pStyle w:val="114"/>
              <w:wordWrap w:val="0"/>
              <w:spacing w:line="240" w:lineRule="auto"/>
              <w:ind w:firstLine="0" w:firstLineChars="0"/>
              <w:jc w:val="center"/>
              <w:rPr>
                <w:rFonts w:ascii="Times New Roman" w:hAnsi="Times New Roman" w:eastAsia="宋体"/>
                <w:sz w:val="24"/>
                <w:szCs w:val="24"/>
              </w:rPr>
            </w:pPr>
            <w:r>
              <w:rPr>
                <w:rFonts w:hint="eastAsia" w:ascii="Times New Roman" w:hAnsi="Times New Roman" w:eastAsia="宋体"/>
                <w:sz w:val="24"/>
                <w:szCs w:val="24"/>
              </w:rPr>
              <w:t>民政资金发放与监管信息平台服务</w:t>
            </w:r>
          </w:p>
        </w:tc>
        <w:tc>
          <w:tcPr>
            <w:tcW w:w="0" w:type="auto"/>
            <w:vAlign w:val="center"/>
          </w:tcPr>
          <w:p>
            <w:pPr>
              <w:pStyle w:val="114"/>
              <w:wordWrap w:val="0"/>
              <w:spacing w:line="240" w:lineRule="auto"/>
              <w:ind w:firstLine="0" w:firstLineChars="0"/>
              <w:jc w:val="center"/>
              <w:rPr>
                <w:rFonts w:ascii="Times New Roman" w:hAnsi="Times New Roman" w:eastAsia="宋体"/>
                <w:sz w:val="24"/>
                <w:szCs w:val="24"/>
              </w:rPr>
            </w:pPr>
            <w:r>
              <w:rPr>
                <w:rFonts w:hint="eastAsia" w:ascii="Times New Roman" w:hAnsi="Times New Roman" w:eastAsia="宋体"/>
                <w:sz w:val="24"/>
                <w:szCs w:val="24"/>
              </w:rPr>
              <w:t>项</w:t>
            </w:r>
          </w:p>
        </w:tc>
        <w:tc>
          <w:tcPr>
            <w:tcW w:w="0" w:type="auto"/>
            <w:vAlign w:val="center"/>
          </w:tcPr>
          <w:p>
            <w:pPr>
              <w:pStyle w:val="114"/>
              <w:wordWrap w:val="0"/>
              <w:spacing w:line="240" w:lineRule="auto"/>
              <w:ind w:firstLine="0" w:firstLineChars="0"/>
              <w:jc w:val="center"/>
              <w:rPr>
                <w:rFonts w:ascii="Times New Roman" w:hAnsi="Times New Roman" w:eastAsia="宋体"/>
                <w:sz w:val="24"/>
                <w:szCs w:val="24"/>
              </w:rPr>
            </w:pPr>
            <w:r>
              <w:rPr>
                <w:rFonts w:hint="eastAsia" w:ascii="Times New Roman" w:hAnsi="Times New Roman" w:eastAsia="宋体"/>
                <w:sz w:val="24"/>
                <w:szCs w:val="24"/>
              </w:rPr>
              <w:t>1</w:t>
            </w:r>
          </w:p>
        </w:tc>
        <w:tc>
          <w:tcPr>
            <w:tcW w:w="0" w:type="auto"/>
            <w:vAlign w:val="center"/>
          </w:tcPr>
          <w:p>
            <w:pPr>
              <w:pStyle w:val="114"/>
              <w:wordWrap w:val="0"/>
              <w:spacing w:line="240" w:lineRule="auto"/>
              <w:ind w:firstLine="0" w:firstLineChars="0"/>
              <w:jc w:val="center"/>
              <w:rPr>
                <w:rFonts w:ascii="Times New Roman" w:hAnsi="Times New Roman" w:eastAsia="宋体"/>
                <w:sz w:val="24"/>
                <w:szCs w:val="24"/>
              </w:rPr>
            </w:pPr>
            <w:r>
              <w:rPr>
                <w:rFonts w:hint="eastAsia" w:ascii="Times New Roman" w:hAnsi="Times New Roman" w:eastAsia="宋体"/>
                <w:sz w:val="24"/>
                <w:szCs w:val="24"/>
              </w:rPr>
              <w:t>详细内容请参阅招标文件《用户需求书》</w:t>
            </w:r>
          </w:p>
        </w:tc>
      </w:tr>
    </w:tbl>
    <w:p>
      <w:pPr>
        <w:pStyle w:val="114"/>
        <w:spacing w:line="440" w:lineRule="exact"/>
        <w:ind w:firstLine="494"/>
        <w:jc w:val="left"/>
        <w:rPr>
          <w:rFonts w:ascii="Times New Roman" w:hAnsi="Times New Roman" w:eastAsia="宋体"/>
          <w:sz w:val="24"/>
          <w:szCs w:val="24"/>
        </w:rPr>
      </w:pPr>
      <w:r>
        <w:rPr>
          <w:rFonts w:hint="eastAsia" w:ascii="Times New Roman" w:hAnsi="Times New Roman" w:eastAsia="宋体"/>
          <w:sz w:val="24"/>
          <w:szCs w:val="24"/>
        </w:rPr>
        <w:t>2、采购预算金额：¥900,</w:t>
      </w:r>
      <w:r>
        <w:rPr>
          <w:rFonts w:ascii="Times New Roman" w:hAnsi="Times New Roman" w:eastAsia="宋体"/>
          <w:sz w:val="24"/>
          <w:szCs w:val="24"/>
        </w:rPr>
        <w:t>000</w:t>
      </w:r>
      <w:r>
        <w:rPr>
          <w:rFonts w:hint="eastAsia" w:ascii="Times New Roman" w:hAnsi="Times New Roman" w:eastAsia="宋体"/>
          <w:sz w:val="24"/>
          <w:szCs w:val="24"/>
        </w:rPr>
        <w:t>.00。</w:t>
      </w:r>
    </w:p>
    <w:p>
      <w:pPr>
        <w:pStyle w:val="114"/>
        <w:spacing w:line="440" w:lineRule="exact"/>
        <w:ind w:firstLine="494"/>
        <w:jc w:val="left"/>
        <w:rPr>
          <w:rFonts w:ascii="Times New Roman" w:hAnsi="Times New Roman" w:eastAsia="宋体"/>
          <w:sz w:val="24"/>
          <w:szCs w:val="24"/>
        </w:rPr>
      </w:pPr>
      <w:r>
        <w:rPr>
          <w:rFonts w:hint="eastAsia" w:ascii="Times New Roman" w:hAnsi="Times New Roman" w:eastAsia="宋体"/>
          <w:sz w:val="24"/>
          <w:szCs w:val="24"/>
        </w:rPr>
        <w:t>3、本项目不接受联合体形式投标。</w:t>
      </w:r>
    </w:p>
    <w:p>
      <w:pPr>
        <w:pStyle w:val="114"/>
        <w:spacing w:line="440" w:lineRule="exact"/>
        <w:ind w:firstLine="494"/>
        <w:jc w:val="left"/>
        <w:rPr>
          <w:rFonts w:ascii="Times New Roman" w:hAnsi="Times New Roman" w:eastAsia="宋体"/>
          <w:sz w:val="24"/>
          <w:szCs w:val="24"/>
        </w:rPr>
      </w:pPr>
    </w:p>
    <w:p>
      <w:pPr>
        <w:pStyle w:val="114"/>
        <w:spacing w:line="440" w:lineRule="exact"/>
        <w:ind w:firstLine="482" w:firstLineChars="200"/>
        <w:jc w:val="left"/>
        <w:rPr>
          <w:rFonts w:ascii="Times New Roman" w:hAnsi="Times New Roman" w:eastAsia="宋体"/>
          <w:b/>
          <w:sz w:val="24"/>
          <w:szCs w:val="24"/>
        </w:rPr>
      </w:pPr>
      <w:r>
        <w:rPr>
          <w:rFonts w:hint="eastAsia" w:ascii="Times New Roman" w:hAnsi="Times New Roman" w:eastAsia="宋体"/>
          <w:b/>
          <w:sz w:val="24"/>
          <w:szCs w:val="24"/>
        </w:rPr>
        <w:t>二、供应商资格要求：</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1、投标供应商应具备以下条件，并提供下列材料；</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1.1 具有独立承担民事责任的能力：在中华人民共和国境内注册的法人或其他组织或自然人，投标时提交有效的营业执照（或事业法人登记证或身份证等相关证明）复印件；</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1.2 有依法缴纳税收和社会保障资金的良好记录：提供2023年以来任意一个月依法缴纳税收和社会保障资金的相关材料。如依法免税或不需要缴纳社会保障资金的，须提供相应证明材料；（或提供相关资格承诺函，格式自拟）</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1.3 具有良好的商业信誉和健全的财务会计制度：提供财务报告或基本开户银行出具的资信证明或专业担保机构出具的投标担保函；（或提供相关资格承诺函，格式自拟）</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1.4 履行合同所必须的设备和专业技术能力：按投标文件格式填报设备及专业技术能力情况；</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1.5 参加采购活动前3年内，在经营活动中没有重大违法记录：供应商参加投标活动前三年内，在经营活动中没有重大违法记录（须提供书面声明）。</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2、落实政策需满足的资格要求：</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2.1 本项目属于专门面向中小企业采购的项目，本项目中小企业划分标准所属行业为：软件和信息技术服务业。【注：1、供应商须提供《中小企业声明函》；2、监狱企业、残疾人福利单位视同小型、微型企业。残疾人福利性单位以供应商填写的《残疾人福利性单位声明函》为判定标准，监狱企业须提供由省级以上监狱管理局、戒毒管理局（含新疆生产建设兵团）出具的属于监狱企业的证明文件】</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3、本项目的特定资格要求：</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3.1 单位负责人为同一人或者存在直接控股、管理关系的不同供应商，不得参加同一合同项下的采购活动。为本项目提供整体设计、规范编制或者项目管理、监理、检测等服务的供应商，不得再参加本项目的其他采购活动；</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3.2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供应商需提供相关证明资料）。</w:t>
      </w:r>
    </w:p>
    <w:p>
      <w:pPr>
        <w:pStyle w:val="114"/>
        <w:spacing w:line="440" w:lineRule="exact"/>
        <w:ind w:firstLine="480" w:firstLineChars="200"/>
        <w:jc w:val="left"/>
        <w:rPr>
          <w:rFonts w:ascii="Times New Roman" w:hAnsi="Times New Roman" w:eastAsia="宋体"/>
          <w:sz w:val="24"/>
          <w:szCs w:val="24"/>
        </w:rPr>
      </w:pPr>
    </w:p>
    <w:p>
      <w:pPr>
        <w:pStyle w:val="114"/>
        <w:spacing w:line="440" w:lineRule="exact"/>
        <w:ind w:firstLine="482" w:firstLineChars="200"/>
        <w:jc w:val="left"/>
        <w:rPr>
          <w:rFonts w:ascii="Times New Roman" w:hAnsi="Times New Roman" w:eastAsia="宋体"/>
          <w:b/>
          <w:sz w:val="24"/>
          <w:szCs w:val="24"/>
        </w:rPr>
      </w:pPr>
      <w:r>
        <w:rPr>
          <w:rFonts w:hint="eastAsia" w:ascii="Times New Roman" w:hAnsi="Times New Roman" w:eastAsia="宋体"/>
          <w:b/>
          <w:sz w:val="24"/>
          <w:szCs w:val="24"/>
        </w:rPr>
        <w:t>三、获取招标文件时间、地点、方式：</w:t>
      </w:r>
    </w:p>
    <w:p>
      <w:pPr>
        <w:pStyle w:val="114"/>
        <w:tabs>
          <w:tab w:val="left" w:pos="4872"/>
        </w:tabs>
        <w:spacing w:line="440" w:lineRule="exact"/>
        <w:ind w:firstLine="480" w:firstLineChars="200"/>
        <w:jc w:val="left"/>
        <w:rPr>
          <w:rFonts w:ascii="Times New Roman" w:hAnsi="Times New Roman" w:eastAsia="宋体"/>
          <w:sz w:val="24"/>
        </w:rPr>
      </w:pPr>
      <w:r>
        <w:rPr>
          <w:rFonts w:hint="eastAsia" w:ascii="Times New Roman" w:hAnsi="Times New Roman" w:eastAsia="宋体"/>
          <w:sz w:val="24"/>
          <w:szCs w:val="24"/>
        </w:rPr>
        <w:t>1、获取</w:t>
      </w:r>
      <w:r>
        <w:rPr>
          <w:rFonts w:hint="eastAsia" w:ascii="Times New Roman" w:hAnsi="Times New Roman" w:eastAsia="宋体"/>
          <w:sz w:val="24"/>
        </w:rPr>
        <w:t>招标文件时间：2024年</w:t>
      </w:r>
      <w:r>
        <w:rPr>
          <w:rFonts w:hint="eastAsia" w:ascii="Times New Roman" w:hAnsi="Times New Roman" w:eastAsia="宋体"/>
          <w:sz w:val="24"/>
          <w:lang w:val="en-US" w:eastAsia="zh-CN"/>
        </w:rPr>
        <w:t>6</w:t>
      </w:r>
      <w:r>
        <w:rPr>
          <w:rFonts w:hint="eastAsia" w:ascii="Times New Roman" w:hAnsi="Times New Roman" w:eastAsia="宋体"/>
          <w:sz w:val="24"/>
        </w:rPr>
        <w:t>月</w:t>
      </w:r>
      <w:r>
        <w:rPr>
          <w:rFonts w:hint="eastAsia" w:ascii="Times New Roman" w:hAnsi="Times New Roman" w:eastAsia="宋体"/>
          <w:sz w:val="24"/>
          <w:lang w:val="en-US" w:eastAsia="zh-CN"/>
        </w:rPr>
        <w:t>28</w:t>
      </w:r>
      <w:r>
        <w:rPr>
          <w:rFonts w:hint="eastAsia" w:ascii="Times New Roman" w:hAnsi="Times New Roman" w:eastAsia="宋体"/>
          <w:sz w:val="24"/>
        </w:rPr>
        <w:t>日至2024年</w:t>
      </w:r>
      <w:r>
        <w:rPr>
          <w:rFonts w:hint="eastAsia" w:ascii="Times New Roman" w:hAnsi="Times New Roman" w:eastAsia="宋体"/>
          <w:sz w:val="24"/>
          <w:lang w:val="en-US" w:eastAsia="zh-CN"/>
        </w:rPr>
        <w:t>7</w:t>
      </w:r>
      <w:r>
        <w:rPr>
          <w:rFonts w:hint="eastAsia" w:ascii="Times New Roman" w:hAnsi="Times New Roman" w:eastAsia="宋体"/>
          <w:sz w:val="24"/>
        </w:rPr>
        <w:t>月</w:t>
      </w:r>
      <w:r>
        <w:rPr>
          <w:rFonts w:hint="eastAsia" w:ascii="Times New Roman" w:hAnsi="Times New Roman" w:eastAsia="宋体"/>
          <w:sz w:val="24"/>
          <w:lang w:val="en-US" w:eastAsia="zh-CN"/>
        </w:rPr>
        <w:t>5</w:t>
      </w:r>
      <w:r>
        <w:rPr>
          <w:rFonts w:hint="eastAsia" w:ascii="Times New Roman" w:hAnsi="Times New Roman" w:eastAsia="宋体"/>
          <w:sz w:val="24"/>
        </w:rPr>
        <w:t>日，上午8：30至12：00，下午14：00至17：30（北京时间，节假日除外）。</w:t>
      </w:r>
    </w:p>
    <w:p>
      <w:pPr>
        <w:pStyle w:val="114"/>
        <w:tabs>
          <w:tab w:val="left" w:pos="4872"/>
        </w:tabs>
        <w:spacing w:line="440" w:lineRule="exact"/>
        <w:ind w:firstLine="480" w:firstLineChars="200"/>
        <w:jc w:val="left"/>
        <w:rPr>
          <w:rFonts w:ascii="Times New Roman" w:hAnsi="Times New Roman" w:eastAsia="宋体"/>
          <w:sz w:val="24"/>
        </w:rPr>
      </w:pPr>
      <w:r>
        <w:rPr>
          <w:rFonts w:hint="eastAsia" w:ascii="Times New Roman" w:hAnsi="Times New Roman" w:eastAsia="宋体"/>
          <w:sz w:val="24"/>
          <w:szCs w:val="24"/>
        </w:rPr>
        <w:t>2、获取</w:t>
      </w:r>
      <w:r>
        <w:rPr>
          <w:rFonts w:hint="eastAsia" w:ascii="Times New Roman" w:hAnsi="Times New Roman" w:eastAsia="宋体"/>
          <w:sz w:val="24"/>
        </w:rPr>
        <w:t>招标文件地点：东莞市莞城区莞太路120号金马大厦八楼806-809室。</w:t>
      </w:r>
    </w:p>
    <w:p>
      <w:pPr>
        <w:pStyle w:val="114"/>
        <w:tabs>
          <w:tab w:val="left" w:pos="4872"/>
        </w:tabs>
        <w:spacing w:line="440" w:lineRule="exact"/>
        <w:ind w:firstLine="480" w:firstLineChars="200"/>
        <w:jc w:val="left"/>
        <w:rPr>
          <w:rFonts w:ascii="Times New Roman" w:hAnsi="Times New Roman" w:eastAsia="宋体"/>
          <w:sz w:val="24"/>
        </w:rPr>
      </w:pPr>
      <w:r>
        <w:rPr>
          <w:rFonts w:hint="eastAsia" w:ascii="Times New Roman" w:hAnsi="Times New Roman" w:eastAsia="宋体"/>
          <w:sz w:val="24"/>
          <w:szCs w:val="24"/>
        </w:rPr>
        <w:t>3、</w:t>
      </w:r>
      <w:r>
        <w:rPr>
          <w:rFonts w:hint="eastAsia" w:ascii="Times New Roman" w:hAnsi="Times New Roman" w:eastAsia="宋体"/>
          <w:sz w:val="24"/>
        </w:rPr>
        <w:t>获取招标</w:t>
      </w:r>
      <w:r>
        <w:rPr>
          <w:rFonts w:hint="eastAsia" w:ascii="Times New Roman" w:hAnsi="Times New Roman" w:eastAsia="宋体"/>
          <w:sz w:val="24"/>
          <w:szCs w:val="24"/>
        </w:rPr>
        <w:t>文件</w:t>
      </w:r>
      <w:r>
        <w:rPr>
          <w:rFonts w:hint="eastAsia" w:ascii="Times New Roman" w:hAnsi="Times New Roman" w:eastAsia="宋体"/>
          <w:sz w:val="24"/>
        </w:rPr>
        <w:t>方式：现场获取；</w:t>
      </w:r>
      <w:r>
        <w:rPr>
          <w:rFonts w:hint="eastAsia" w:ascii="Times New Roman" w:hAnsi="Times New Roman" w:eastAsia="宋体"/>
          <w:b/>
          <w:bCs/>
          <w:sz w:val="24"/>
        </w:rPr>
        <w:t>注：投标人凭营业执照的复印件（加盖公章）获取招标文件（自带U盘拷贝招标文件电子文档）。</w:t>
      </w:r>
    </w:p>
    <w:p>
      <w:pPr>
        <w:pStyle w:val="114"/>
        <w:tabs>
          <w:tab w:val="left" w:pos="4872"/>
        </w:tabs>
        <w:spacing w:line="440" w:lineRule="exact"/>
        <w:ind w:firstLine="480" w:firstLineChars="200"/>
        <w:jc w:val="left"/>
        <w:rPr>
          <w:rFonts w:ascii="Times New Roman" w:hAnsi="Times New Roman" w:eastAsia="宋体"/>
          <w:sz w:val="24"/>
        </w:rPr>
      </w:pPr>
      <w:r>
        <w:rPr>
          <w:rFonts w:hint="eastAsia" w:ascii="Times New Roman" w:hAnsi="Times New Roman" w:eastAsia="宋体"/>
          <w:sz w:val="24"/>
          <w:szCs w:val="24"/>
        </w:rPr>
        <w:t>4、招标文件</w:t>
      </w:r>
      <w:r>
        <w:rPr>
          <w:rFonts w:hint="eastAsia" w:ascii="Times New Roman" w:hAnsi="Times New Roman" w:eastAsia="宋体"/>
          <w:sz w:val="24"/>
        </w:rPr>
        <w:t>售价：人民币300.00元（文件售后不退）。</w:t>
      </w:r>
    </w:p>
    <w:p>
      <w:pPr>
        <w:pStyle w:val="114"/>
        <w:tabs>
          <w:tab w:val="left" w:pos="4872"/>
        </w:tabs>
        <w:spacing w:line="440" w:lineRule="exact"/>
        <w:ind w:firstLine="480" w:firstLineChars="200"/>
        <w:jc w:val="left"/>
        <w:rPr>
          <w:rFonts w:ascii="Times New Roman" w:hAnsi="Times New Roman" w:eastAsia="宋体"/>
          <w:sz w:val="24"/>
        </w:rPr>
      </w:pPr>
      <w:r>
        <w:rPr>
          <w:rFonts w:hint="eastAsia" w:ascii="Times New Roman" w:hAnsi="Times New Roman" w:eastAsia="宋体"/>
          <w:sz w:val="24"/>
          <w:szCs w:val="24"/>
        </w:rPr>
        <w:t>5、获取</w:t>
      </w:r>
      <w:r>
        <w:rPr>
          <w:rFonts w:hint="eastAsia" w:ascii="Times New Roman" w:hAnsi="Times New Roman" w:eastAsia="宋体"/>
          <w:sz w:val="24"/>
        </w:rPr>
        <w:t>了招标文件，而不参加投标的供应商，请在开标前三日以书面形式通知采购代理机构。</w:t>
      </w:r>
    </w:p>
    <w:p>
      <w:pPr>
        <w:pStyle w:val="114"/>
        <w:tabs>
          <w:tab w:val="left" w:pos="4872"/>
        </w:tabs>
        <w:spacing w:line="440" w:lineRule="exact"/>
        <w:ind w:firstLine="480" w:firstLineChars="200"/>
        <w:jc w:val="left"/>
        <w:rPr>
          <w:rFonts w:ascii="Times New Roman" w:hAnsi="Times New Roman" w:eastAsia="宋体"/>
          <w:bCs/>
          <w:sz w:val="24"/>
        </w:rPr>
      </w:pPr>
      <w:r>
        <w:rPr>
          <w:rFonts w:hint="eastAsia" w:ascii="Times New Roman" w:hAnsi="Times New Roman" w:eastAsia="宋体"/>
          <w:bCs/>
          <w:sz w:val="24"/>
        </w:rPr>
        <w:t>6、</w:t>
      </w:r>
      <w:r>
        <w:rPr>
          <w:rFonts w:ascii="Times New Roman" w:hAnsi="Times New Roman" w:eastAsia="宋体"/>
          <w:bCs/>
          <w:sz w:val="24"/>
        </w:rPr>
        <w:t>本项目</w:t>
      </w:r>
      <w:r>
        <w:rPr>
          <w:rFonts w:hint="eastAsia" w:ascii="Times New Roman" w:hAnsi="Times New Roman" w:eastAsia="宋体"/>
          <w:bCs/>
          <w:sz w:val="24"/>
        </w:rPr>
        <w:t>招标</w:t>
      </w:r>
      <w:r>
        <w:rPr>
          <w:rFonts w:ascii="Times New Roman" w:hAnsi="Times New Roman" w:eastAsia="宋体"/>
          <w:bCs/>
          <w:sz w:val="24"/>
        </w:rPr>
        <w:t>文件公示时间为：</w:t>
      </w:r>
      <w:r>
        <w:rPr>
          <w:rFonts w:hint="eastAsia" w:ascii="Times New Roman" w:hAnsi="Times New Roman" w:eastAsia="宋体"/>
          <w:sz w:val="24"/>
        </w:rPr>
        <w:t>2024年</w:t>
      </w:r>
      <w:r>
        <w:rPr>
          <w:rFonts w:hint="eastAsia" w:ascii="Times New Roman" w:hAnsi="Times New Roman" w:eastAsia="宋体"/>
          <w:sz w:val="24"/>
          <w:lang w:val="en-US" w:eastAsia="zh-CN"/>
        </w:rPr>
        <w:t>6</w:t>
      </w:r>
      <w:r>
        <w:rPr>
          <w:rFonts w:hint="eastAsia" w:ascii="Times New Roman" w:hAnsi="Times New Roman" w:eastAsia="宋体"/>
          <w:sz w:val="24"/>
        </w:rPr>
        <w:t>月</w:t>
      </w:r>
      <w:r>
        <w:rPr>
          <w:rFonts w:hint="eastAsia" w:ascii="Times New Roman" w:hAnsi="Times New Roman" w:eastAsia="宋体"/>
          <w:sz w:val="24"/>
          <w:lang w:val="en-US" w:eastAsia="zh-CN"/>
        </w:rPr>
        <w:t>28</w:t>
      </w:r>
      <w:r>
        <w:rPr>
          <w:rFonts w:hint="eastAsia" w:ascii="Times New Roman" w:hAnsi="Times New Roman" w:eastAsia="宋体"/>
          <w:sz w:val="24"/>
        </w:rPr>
        <w:t>日至2024年</w:t>
      </w:r>
      <w:r>
        <w:rPr>
          <w:rFonts w:hint="eastAsia" w:ascii="Times New Roman" w:hAnsi="Times New Roman" w:eastAsia="宋体"/>
          <w:sz w:val="24"/>
          <w:lang w:val="en-US" w:eastAsia="zh-CN"/>
        </w:rPr>
        <w:t>7</w:t>
      </w:r>
      <w:r>
        <w:rPr>
          <w:rFonts w:hint="eastAsia" w:ascii="Times New Roman" w:hAnsi="Times New Roman" w:eastAsia="宋体"/>
          <w:sz w:val="24"/>
        </w:rPr>
        <w:t>月</w:t>
      </w:r>
      <w:r>
        <w:rPr>
          <w:rFonts w:hint="eastAsia" w:ascii="Times New Roman" w:hAnsi="Times New Roman" w:eastAsia="宋体"/>
          <w:sz w:val="24"/>
          <w:lang w:val="en-US" w:eastAsia="zh-CN"/>
        </w:rPr>
        <w:t>5</w:t>
      </w:r>
      <w:r>
        <w:rPr>
          <w:rFonts w:hint="eastAsia" w:ascii="Times New Roman" w:hAnsi="Times New Roman" w:eastAsia="宋体"/>
          <w:sz w:val="24"/>
        </w:rPr>
        <w:t>日</w:t>
      </w:r>
      <w:r>
        <w:rPr>
          <w:rFonts w:hint="eastAsia" w:ascii="Times New Roman" w:hAnsi="Times New Roman" w:eastAsia="宋体"/>
          <w:bCs/>
          <w:sz w:val="24"/>
        </w:rPr>
        <w:t>。</w:t>
      </w:r>
    </w:p>
    <w:p>
      <w:pPr>
        <w:pStyle w:val="114"/>
        <w:spacing w:line="440" w:lineRule="exact"/>
        <w:ind w:firstLine="482" w:firstLineChars="200"/>
        <w:jc w:val="left"/>
        <w:rPr>
          <w:rFonts w:ascii="Times New Roman" w:hAnsi="Times New Roman" w:eastAsia="宋体"/>
          <w:b/>
          <w:sz w:val="24"/>
          <w:szCs w:val="24"/>
        </w:rPr>
      </w:pPr>
    </w:p>
    <w:p>
      <w:pPr>
        <w:pStyle w:val="114"/>
        <w:spacing w:line="440" w:lineRule="exact"/>
        <w:ind w:firstLine="482" w:firstLineChars="200"/>
        <w:jc w:val="left"/>
        <w:rPr>
          <w:rFonts w:ascii="Times New Roman" w:hAnsi="Times New Roman" w:eastAsia="宋体"/>
          <w:b/>
          <w:sz w:val="24"/>
          <w:szCs w:val="24"/>
        </w:rPr>
      </w:pPr>
      <w:r>
        <w:rPr>
          <w:rFonts w:hint="eastAsia" w:ascii="Times New Roman" w:hAnsi="Times New Roman" w:eastAsia="宋体"/>
          <w:b/>
          <w:sz w:val="24"/>
          <w:szCs w:val="24"/>
        </w:rPr>
        <w:t>四、投标文件递交时间、地址：</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1、递交投标文件时间：2024年</w:t>
      </w:r>
      <w:r>
        <w:rPr>
          <w:rFonts w:hint="eastAsia" w:ascii="Times New Roman" w:hAnsi="Times New Roman" w:eastAsia="宋体"/>
          <w:sz w:val="24"/>
          <w:szCs w:val="24"/>
          <w:lang w:val="en-US" w:eastAsia="zh-CN"/>
        </w:rPr>
        <w:t>7</w:t>
      </w:r>
      <w:r>
        <w:rPr>
          <w:rFonts w:hint="eastAsia" w:ascii="Times New Roman" w:hAnsi="Times New Roman" w:eastAsia="宋体"/>
          <w:sz w:val="24"/>
          <w:szCs w:val="24"/>
        </w:rPr>
        <w:t>月</w:t>
      </w:r>
      <w:r>
        <w:rPr>
          <w:rFonts w:hint="eastAsia" w:ascii="Times New Roman" w:hAnsi="Times New Roman" w:eastAsia="宋体"/>
          <w:sz w:val="24"/>
          <w:szCs w:val="24"/>
          <w:lang w:val="en-US" w:eastAsia="zh-CN"/>
        </w:rPr>
        <w:t>19</w:t>
      </w:r>
      <w:r>
        <w:rPr>
          <w:rFonts w:hint="eastAsia" w:ascii="Times New Roman" w:hAnsi="Times New Roman" w:eastAsia="宋体"/>
          <w:sz w:val="24"/>
          <w:szCs w:val="24"/>
        </w:rPr>
        <w:t>日 上午9：00-9：30（北京时间）。</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2、递交投标文件地址：</w:t>
      </w:r>
      <w:r>
        <w:rPr>
          <w:rFonts w:hint="eastAsia" w:ascii="Times New Roman" w:hAnsi="Times New Roman" w:eastAsia="宋体"/>
          <w:sz w:val="24"/>
        </w:rPr>
        <w:t>东莞市莞城街道莞太大道120号金马大厦八楼806-809室</w:t>
      </w:r>
      <w:r>
        <w:rPr>
          <w:rFonts w:hint="eastAsia" w:ascii="Times New Roman" w:hAnsi="Times New Roman" w:eastAsia="宋体"/>
          <w:sz w:val="24"/>
          <w:szCs w:val="24"/>
        </w:rPr>
        <w:t>开标室。</w:t>
      </w:r>
    </w:p>
    <w:p>
      <w:pPr>
        <w:pStyle w:val="114"/>
        <w:spacing w:line="440" w:lineRule="exact"/>
        <w:ind w:firstLine="482" w:firstLineChars="200"/>
        <w:jc w:val="left"/>
        <w:rPr>
          <w:rFonts w:ascii="Times New Roman" w:hAnsi="Times New Roman" w:eastAsia="宋体"/>
          <w:b/>
          <w:sz w:val="24"/>
          <w:szCs w:val="24"/>
        </w:rPr>
      </w:pPr>
    </w:p>
    <w:p>
      <w:pPr>
        <w:pStyle w:val="114"/>
        <w:spacing w:line="440" w:lineRule="exact"/>
        <w:ind w:firstLine="482" w:firstLineChars="200"/>
        <w:jc w:val="left"/>
        <w:rPr>
          <w:rFonts w:ascii="Times New Roman" w:hAnsi="Times New Roman" w:eastAsia="宋体"/>
          <w:b/>
          <w:sz w:val="24"/>
          <w:szCs w:val="24"/>
        </w:rPr>
      </w:pPr>
      <w:r>
        <w:rPr>
          <w:rFonts w:hint="eastAsia" w:ascii="Times New Roman" w:hAnsi="Times New Roman" w:eastAsia="宋体"/>
          <w:b/>
          <w:sz w:val="24"/>
          <w:szCs w:val="24"/>
        </w:rPr>
        <w:t>五、开标时间、地点及事宜：</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开标时间：2024年</w:t>
      </w:r>
      <w:r>
        <w:rPr>
          <w:rFonts w:hint="eastAsia" w:ascii="Times New Roman" w:hAnsi="Times New Roman" w:eastAsia="宋体"/>
          <w:sz w:val="24"/>
          <w:szCs w:val="24"/>
          <w:lang w:val="en-US" w:eastAsia="zh-CN"/>
        </w:rPr>
        <w:t>7</w:t>
      </w:r>
      <w:r>
        <w:rPr>
          <w:rFonts w:hint="eastAsia" w:ascii="Times New Roman" w:hAnsi="Times New Roman" w:eastAsia="宋体"/>
          <w:sz w:val="24"/>
          <w:szCs w:val="24"/>
        </w:rPr>
        <w:t>月</w:t>
      </w:r>
      <w:r>
        <w:rPr>
          <w:rFonts w:hint="eastAsia" w:ascii="Times New Roman" w:hAnsi="Times New Roman" w:eastAsia="宋体"/>
          <w:sz w:val="24"/>
          <w:szCs w:val="24"/>
          <w:lang w:val="en-US" w:eastAsia="zh-CN"/>
        </w:rPr>
        <w:t>19</w:t>
      </w:r>
      <w:r>
        <w:rPr>
          <w:rFonts w:hint="eastAsia" w:ascii="Times New Roman" w:hAnsi="Times New Roman" w:eastAsia="宋体"/>
          <w:sz w:val="24"/>
          <w:szCs w:val="24"/>
        </w:rPr>
        <w:t>日 上午9：30（北京时间）。</w:t>
      </w:r>
    </w:p>
    <w:p>
      <w:pPr>
        <w:pStyle w:val="114"/>
        <w:tabs>
          <w:tab w:val="left" w:pos="4872"/>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开标地址：</w:t>
      </w:r>
      <w:r>
        <w:rPr>
          <w:rFonts w:hint="eastAsia" w:ascii="Times New Roman" w:hAnsi="Times New Roman" w:eastAsia="宋体"/>
          <w:sz w:val="24"/>
        </w:rPr>
        <w:t>东莞市莞城街道莞太大道120号金马大厦八楼806-809室</w:t>
      </w:r>
      <w:r>
        <w:rPr>
          <w:rFonts w:hint="eastAsia" w:ascii="Times New Roman" w:hAnsi="Times New Roman" w:eastAsia="宋体"/>
          <w:sz w:val="24"/>
          <w:szCs w:val="24"/>
        </w:rPr>
        <w:t>开标室。</w:t>
      </w:r>
    </w:p>
    <w:p>
      <w:pPr>
        <w:pStyle w:val="114"/>
        <w:tabs>
          <w:tab w:val="left" w:pos="4872"/>
        </w:tabs>
        <w:spacing w:line="440" w:lineRule="exact"/>
        <w:ind w:firstLine="482" w:firstLineChars="200"/>
        <w:jc w:val="left"/>
        <w:rPr>
          <w:rFonts w:ascii="Times New Roman" w:hAnsi="Times New Roman" w:eastAsia="宋体"/>
          <w:sz w:val="24"/>
          <w:szCs w:val="24"/>
        </w:rPr>
      </w:pPr>
      <w:r>
        <w:rPr>
          <w:rFonts w:hint="eastAsia" w:ascii="Times New Roman" w:hAnsi="Times New Roman" w:eastAsia="宋体"/>
          <w:b/>
          <w:bCs/>
          <w:sz w:val="24"/>
          <w:szCs w:val="24"/>
        </w:rPr>
        <w:t>开标事宜</w:t>
      </w:r>
      <w:r>
        <w:rPr>
          <w:rFonts w:hint="eastAsia" w:ascii="Times New Roman" w:hAnsi="Times New Roman" w:eastAsia="宋体"/>
          <w:b/>
          <w:sz w:val="24"/>
          <w:szCs w:val="24"/>
        </w:rPr>
        <w:t>：届时请投标人的法定代表人或其授权代表务必携带有效身份证明出席开标会并现场核对。</w:t>
      </w:r>
    </w:p>
    <w:p>
      <w:pPr>
        <w:pStyle w:val="114"/>
        <w:spacing w:line="440" w:lineRule="exact"/>
        <w:ind w:firstLine="0" w:firstLineChars="0"/>
        <w:jc w:val="left"/>
        <w:rPr>
          <w:rFonts w:ascii="Times New Roman" w:hAnsi="Times New Roman" w:eastAsia="宋体"/>
          <w:b/>
          <w:sz w:val="24"/>
          <w:szCs w:val="24"/>
        </w:rPr>
      </w:pPr>
    </w:p>
    <w:p>
      <w:pPr>
        <w:pStyle w:val="114"/>
        <w:spacing w:line="440" w:lineRule="exact"/>
        <w:ind w:firstLine="482" w:firstLineChars="200"/>
        <w:jc w:val="left"/>
        <w:rPr>
          <w:rFonts w:ascii="Times New Roman" w:hAnsi="Times New Roman" w:eastAsia="宋体"/>
          <w:b/>
          <w:sz w:val="24"/>
          <w:szCs w:val="24"/>
        </w:rPr>
      </w:pPr>
      <w:r>
        <w:rPr>
          <w:rFonts w:hint="eastAsia" w:ascii="Times New Roman" w:hAnsi="Times New Roman" w:eastAsia="宋体"/>
          <w:b/>
          <w:sz w:val="24"/>
          <w:szCs w:val="24"/>
        </w:rPr>
        <w:t>六、有关本次招标之事宜，可通过下列联系方式查询：</w:t>
      </w:r>
    </w:p>
    <w:p>
      <w:pPr>
        <w:pStyle w:val="114"/>
        <w:tabs>
          <w:tab w:val="left" w:pos="0"/>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1、采购人：东莞市民政局</w:t>
      </w:r>
    </w:p>
    <w:p>
      <w:pPr>
        <w:pStyle w:val="114"/>
        <w:tabs>
          <w:tab w:val="left" w:pos="0"/>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地址：东莞市莞城区汇峰路一号汇峰中心H座4、5楼</w:t>
      </w:r>
    </w:p>
    <w:p>
      <w:pPr>
        <w:pStyle w:val="114"/>
        <w:tabs>
          <w:tab w:val="left" w:pos="0"/>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联系方式：</w:t>
      </w:r>
      <w:bookmarkStart w:id="262" w:name="_GoBack"/>
      <w:r>
        <w:rPr>
          <w:rFonts w:hint="eastAsia" w:ascii="Times New Roman" w:hAnsi="Times New Roman" w:eastAsia="宋体"/>
          <w:sz w:val="24"/>
          <w:szCs w:val="24"/>
        </w:rPr>
        <w:t>0769-</w:t>
      </w:r>
      <w:r>
        <w:rPr>
          <w:rFonts w:ascii="Times New Roman" w:hAnsi="Times New Roman" w:eastAsia="宋体"/>
          <w:sz w:val="24"/>
          <w:szCs w:val="24"/>
        </w:rPr>
        <w:t>22832570</w:t>
      </w:r>
      <w:bookmarkEnd w:id="262"/>
    </w:p>
    <w:p>
      <w:pPr>
        <w:pStyle w:val="114"/>
        <w:tabs>
          <w:tab w:val="left" w:pos="0"/>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2、采购代理机构：广东中元招标代理有限公司</w:t>
      </w:r>
    </w:p>
    <w:p>
      <w:pPr>
        <w:pStyle w:val="114"/>
        <w:tabs>
          <w:tab w:val="left" w:pos="0"/>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地址：东莞市莞城区莞太路120号金马大厦八楼806-809室。</w:t>
      </w:r>
    </w:p>
    <w:p>
      <w:pPr>
        <w:pStyle w:val="114"/>
        <w:tabs>
          <w:tab w:val="left" w:pos="0"/>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 xml:space="preserve">联系方式：0769-23663761    传真：0769-23663760 </w:t>
      </w:r>
    </w:p>
    <w:p>
      <w:pPr>
        <w:pStyle w:val="114"/>
        <w:tabs>
          <w:tab w:val="left" w:pos="0"/>
        </w:tabs>
        <w:spacing w:line="44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联系人：杨自立             邮箱：zhongyuanzb@163.com</w:t>
      </w:r>
    </w:p>
    <w:p>
      <w:pPr>
        <w:pStyle w:val="114"/>
        <w:tabs>
          <w:tab w:val="left" w:pos="0"/>
        </w:tabs>
        <w:spacing w:line="440" w:lineRule="exact"/>
        <w:ind w:firstLine="480" w:firstLineChars="200"/>
        <w:jc w:val="left"/>
        <w:rPr>
          <w:rStyle w:val="55"/>
          <w:rFonts w:ascii="Times New Roman" w:hAnsi="Times New Roman" w:eastAsia="宋体"/>
          <w:color w:val="auto"/>
          <w:sz w:val="24"/>
          <w:szCs w:val="24"/>
        </w:rPr>
      </w:pPr>
      <w:r>
        <w:rPr>
          <w:rFonts w:hint="eastAsia" w:ascii="Times New Roman" w:hAnsi="Times New Roman" w:eastAsia="宋体"/>
          <w:sz w:val="24"/>
          <w:szCs w:val="24"/>
        </w:rPr>
        <w:t>网址：</w:t>
      </w:r>
      <w:r>
        <w:fldChar w:fldCharType="begin"/>
      </w:r>
      <w:r>
        <w:instrText xml:space="preserve"> HYPERLINK "http://www.zhongyuanzb.com" </w:instrText>
      </w:r>
      <w:r>
        <w:fldChar w:fldCharType="separate"/>
      </w:r>
      <w:r>
        <w:rPr>
          <w:rStyle w:val="55"/>
          <w:rFonts w:hint="eastAsia" w:ascii="Times New Roman" w:hAnsi="Times New Roman" w:eastAsia="宋体"/>
          <w:color w:val="auto"/>
          <w:sz w:val="24"/>
          <w:szCs w:val="24"/>
        </w:rPr>
        <w:t>www.zhongyuanzb.com</w:t>
      </w:r>
      <w:r>
        <w:rPr>
          <w:rStyle w:val="55"/>
          <w:rFonts w:hint="eastAsia" w:ascii="Times New Roman" w:hAnsi="Times New Roman" w:eastAsia="宋体"/>
          <w:color w:val="auto"/>
          <w:sz w:val="24"/>
          <w:szCs w:val="24"/>
        </w:rPr>
        <w:fldChar w:fldCharType="end"/>
      </w:r>
    </w:p>
    <w:p>
      <w:pPr>
        <w:pStyle w:val="114"/>
        <w:tabs>
          <w:tab w:val="left" w:pos="0"/>
        </w:tabs>
        <w:spacing w:line="440" w:lineRule="exact"/>
        <w:ind w:firstLine="480" w:firstLineChars="200"/>
        <w:jc w:val="left"/>
        <w:rPr>
          <w:rFonts w:ascii="Times New Roman" w:hAnsi="Times New Roman"/>
          <w:sz w:val="24"/>
        </w:rPr>
      </w:pPr>
    </w:p>
    <w:p>
      <w:pPr>
        <w:pStyle w:val="114"/>
        <w:tabs>
          <w:tab w:val="left" w:pos="0"/>
        </w:tabs>
        <w:spacing w:line="440" w:lineRule="exact"/>
        <w:ind w:firstLine="480" w:firstLineChars="200"/>
        <w:jc w:val="left"/>
        <w:rPr>
          <w:rFonts w:ascii="Times New Roman" w:hAnsi="Times New Roman" w:eastAsia="黑体"/>
          <w:b/>
          <w:bCs/>
          <w:sz w:val="36"/>
        </w:rPr>
      </w:pPr>
      <w:r>
        <w:rPr>
          <w:rFonts w:ascii="Times New Roman" w:hAnsi="Times New Roman"/>
          <w:sz w:val="24"/>
        </w:rPr>
        <w:br w:type="page"/>
      </w:r>
      <w:bookmarkStart w:id="6" w:name="_Toc317604602"/>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outlineLvl w:val="1"/>
        <w:rPr>
          <w:b/>
          <w:bCs/>
          <w:sz w:val="44"/>
          <w:szCs w:val="44"/>
        </w:rPr>
      </w:pPr>
      <w:bookmarkStart w:id="7" w:name="_Toc10124621"/>
      <w:bookmarkStart w:id="8" w:name="_Toc170229624"/>
      <w:r>
        <w:rPr>
          <w:rFonts w:hint="eastAsia"/>
          <w:b/>
          <w:bCs/>
          <w:sz w:val="44"/>
          <w:szCs w:val="44"/>
        </w:rPr>
        <w:t>第二部分  用户需求书</w:t>
      </w:r>
      <w:bookmarkEnd w:id="7"/>
      <w:bookmarkEnd w:id="8"/>
    </w:p>
    <w:p>
      <w:pPr>
        <w:spacing w:line="440" w:lineRule="exact"/>
        <w:jc w:val="center"/>
        <w:rPr>
          <w:szCs w:val="44"/>
        </w:rPr>
      </w:pPr>
      <w:r>
        <w:rPr>
          <w:b/>
          <w:bCs/>
          <w:sz w:val="44"/>
          <w:szCs w:val="44"/>
        </w:rPr>
        <w:br w:type="page"/>
      </w:r>
      <w:r>
        <w:rPr>
          <w:rFonts w:hint="eastAsia"/>
          <w:b/>
          <w:bCs/>
          <w:sz w:val="44"/>
          <w:szCs w:val="44"/>
        </w:rPr>
        <w:t>用户需求书</w:t>
      </w:r>
    </w:p>
    <w:bookmarkEnd w:id="6"/>
    <w:p>
      <w:pPr>
        <w:spacing w:line="440" w:lineRule="exact"/>
        <w:rPr>
          <w:rFonts w:eastAsia="新宋体"/>
          <w:b/>
          <w:bCs/>
          <w:sz w:val="24"/>
          <w:u w:val="dotted"/>
        </w:rPr>
      </w:pPr>
      <w:bookmarkStart w:id="9" w:name="_Toc314064450"/>
      <w:r>
        <w:rPr>
          <w:rFonts w:hint="eastAsia" w:eastAsia="新宋体"/>
          <w:b/>
          <w:bCs/>
          <w:sz w:val="24"/>
        </w:rPr>
        <w:t>注：</w:t>
      </w:r>
      <w:r>
        <w:rPr>
          <w:rFonts w:hint="eastAsia" w:eastAsia="新宋体"/>
          <w:b/>
          <w:bCs/>
          <w:sz w:val="24"/>
          <w:u w:val="dotted"/>
        </w:rPr>
        <w:t>1、</w:t>
      </w:r>
      <w:r>
        <w:rPr>
          <w:rFonts w:eastAsia="新宋体"/>
          <w:b/>
          <w:bCs/>
          <w:sz w:val="24"/>
          <w:u w:val="dotted"/>
        </w:rPr>
        <w:t>在《用户需求书》中所提供的参考技术要求其目的仅仅是为了使投标</w:t>
      </w:r>
      <w:r>
        <w:rPr>
          <w:rFonts w:hint="eastAsia" w:eastAsia="新宋体"/>
          <w:b/>
          <w:bCs/>
          <w:sz w:val="24"/>
          <w:u w:val="dotted"/>
        </w:rPr>
        <w:t>人</w:t>
      </w:r>
      <w:r>
        <w:rPr>
          <w:rFonts w:eastAsia="新宋体"/>
          <w:b/>
          <w:bCs/>
          <w:sz w:val="24"/>
          <w:u w:val="dotted"/>
        </w:rPr>
        <w:t>更加准确地了解招标技术要求，不构成对投标单位所报品牌的任何约束。</w:t>
      </w:r>
    </w:p>
    <w:p>
      <w:pPr>
        <w:spacing w:line="440" w:lineRule="exact"/>
        <w:ind w:firstLine="482" w:firstLineChars="200"/>
        <w:rPr>
          <w:rFonts w:eastAsia="新宋体"/>
          <w:b/>
          <w:bCs/>
          <w:sz w:val="24"/>
          <w:u w:val="dotted"/>
        </w:rPr>
      </w:pPr>
      <w:r>
        <w:rPr>
          <w:rFonts w:hint="eastAsia" w:eastAsia="新宋体"/>
          <w:b/>
          <w:bCs/>
          <w:sz w:val="24"/>
          <w:u w:val="dotted"/>
        </w:rPr>
        <w:t>2、以下带 “▲”号为重要技术参数，偏离将导致要求扣分，以下带 “★”号为必备条款，偏离将导致投标无效。</w:t>
      </w:r>
    </w:p>
    <w:p>
      <w:pPr>
        <w:spacing w:line="440" w:lineRule="exact"/>
        <w:rPr>
          <w:b/>
          <w:sz w:val="24"/>
        </w:rPr>
      </w:pPr>
    </w:p>
    <w:p>
      <w:pPr>
        <w:pBdr>
          <w:bottom w:val="double" w:color="auto" w:sz="4" w:space="1"/>
        </w:pBdr>
        <w:spacing w:line="360" w:lineRule="auto"/>
        <w:jc w:val="center"/>
        <w:rPr>
          <w:b/>
          <w:sz w:val="24"/>
        </w:rPr>
      </w:pPr>
      <w:r>
        <w:rPr>
          <w:rFonts w:hint="eastAsia"/>
          <w:b/>
          <w:sz w:val="24"/>
        </w:rPr>
        <w:t>一、商务要求</w:t>
      </w:r>
    </w:p>
    <w:p>
      <w:pPr>
        <w:spacing w:line="440" w:lineRule="exact"/>
        <w:ind w:firstLine="482" w:firstLineChars="200"/>
        <w:rPr>
          <w:b/>
          <w:sz w:val="24"/>
        </w:rPr>
      </w:pPr>
    </w:p>
    <w:p>
      <w:pPr>
        <w:spacing w:line="440" w:lineRule="exact"/>
        <w:ind w:firstLine="482" w:firstLineChars="200"/>
        <w:jc w:val="left"/>
        <w:rPr>
          <w:b/>
          <w:sz w:val="24"/>
        </w:rPr>
      </w:pPr>
      <w:r>
        <w:rPr>
          <w:rFonts w:hint="eastAsia"/>
          <w:b/>
          <w:sz w:val="24"/>
        </w:rPr>
        <w:t>一、付款方式</w:t>
      </w:r>
    </w:p>
    <w:p>
      <w:pPr>
        <w:spacing w:line="440" w:lineRule="exact"/>
        <w:ind w:firstLine="480" w:firstLineChars="200"/>
        <w:jc w:val="left"/>
        <w:rPr>
          <w:sz w:val="24"/>
        </w:rPr>
      </w:pPr>
      <w:r>
        <w:rPr>
          <w:rFonts w:hint="eastAsia"/>
          <w:sz w:val="24"/>
        </w:rPr>
        <w:t>项目中标价平均分二次拨付。第一次，双方签订合同后10个工作日，拨付首付金额50%费用作为项目启动费用，合同期满后，采购人对中标单位服务工作依据服务考核要求进行考核并结算剩余费用。</w:t>
      </w:r>
    </w:p>
    <w:p>
      <w:pPr>
        <w:spacing w:line="440" w:lineRule="exact"/>
        <w:ind w:firstLine="480" w:firstLineChars="200"/>
        <w:jc w:val="left"/>
        <w:rPr>
          <w:sz w:val="24"/>
        </w:rPr>
      </w:pPr>
      <w:r>
        <w:rPr>
          <w:rFonts w:hint="eastAsia"/>
          <w:sz w:val="24"/>
        </w:rPr>
        <w:t>注：本合同的经费由市财政预算安排拨款，如因政策影响，拨款未能及时到位，中标单位不得以此为由而不履行本合同规定的义务。否则，采购人按规定扣罚。如果中标单位怠于或者拒绝提供资料或者办理手续的，则因此产生的付款迟延的责任全部由中标单位承担。</w:t>
      </w:r>
    </w:p>
    <w:p>
      <w:pPr>
        <w:spacing w:line="440" w:lineRule="exact"/>
        <w:ind w:firstLine="482" w:firstLineChars="200"/>
        <w:jc w:val="left"/>
        <w:rPr>
          <w:b/>
          <w:sz w:val="24"/>
        </w:rPr>
      </w:pPr>
    </w:p>
    <w:p>
      <w:pPr>
        <w:spacing w:line="440" w:lineRule="exact"/>
        <w:ind w:firstLine="482" w:firstLineChars="200"/>
        <w:jc w:val="left"/>
        <w:rPr>
          <w:b/>
          <w:sz w:val="24"/>
        </w:rPr>
      </w:pPr>
      <w:r>
        <w:rPr>
          <w:rFonts w:hint="eastAsia"/>
          <w:b/>
          <w:sz w:val="24"/>
        </w:rPr>
        <w:t>★二、报价要求</w:t>
      </w:r>
    </w:p>
    <w:p>
      <w:pPr>
        <w:spacing w:line="440" w:lineRule="exact"/>
        <w:ind w:firstLine="480" w:firstLineChars="200"/>
        <w:jc w:val="left"/>
        <w:rPr>
          <w:sz w:val="24"/>
        </w:rPr>
      </w:pPr>
      <w:r>
        <w:rPr>
          <w:rFonts w:hint="eastAsia"/>
          <w:sz w:val="24"/>
        </w:rPr>
        <w:t>1、报价要求：报价包括但不限于人工、材料、工具、设备、培训、管理等中标人为履行本合同所需的一切费用。采购人除支付上述服务费用外，无须向中标人及其人员支付任何其他费用。</w:t>
      </w:r>
    </w:p>
    <w:p>
      <w:pPr>
        <w:spacing w:line="440" w:lineRule="exact"/>
        <w:ind w:firstLine="480" w:firstLineChars="200"/>
        <w:jc w:val="left"/>
        <w:rPr>
          <w:sz w:val="24"/>
        </w:rPr>
      </w:pPr>
      <w:r>
        <w:rPr>
          <w:rFonts w:hint="eastAsia"/>
          <w:sz w:val="24"/>
        </w:rPr>
        <w:t>2、本采购包最高限价为人民币玖拾万元整（¥900,000.00），投标人上述对应的投标报价超过对应的最高限价的，作无效投标处理。</w:t>
      </w:r>
    </w:p>
    <w:p>
      <w:pPr>
        <w:spacing w:line="440" w:lineRule="exact"/>
        <w:ind w:firstLine="480" w:firstLineChars="200"/>
        <w:jc w:val="left"/>
        <w:rPr>
          <w:sz w:val="24"/>
        </w:rPr>
      </w:pPr>
      <w:r>
        <w:rPr>
          <w:rFonts w:hint="eastAsia"/>
          <w:sz w:val="24"/>
        </w:rPr>
        <w:t>3、本次招标不接受投标人中标后将中标项目分包及转包。</w:t>
      </w:r>
    </w:p>
    <w:p>
      <w:pPr>
        <w:spacing w:line="440" w:lineRule="exact"/>
        <w:ind w:firstLine="482" w:firstLineChars="200"/>
        <w:jc w:val="left"/>
        <w:rPr>
          <w:b/>
          <w:sz w:val="24"/>
        </w:rPr>
      </w:pPr>
    </w:p>
    <w:p>
      <w:pPr>
        <w:spacing w:line="440" w:lineRule="exact"/>
        <w:ind w:firstLine="482" w:firstLineChars="200"/>
        <w:jc w:val="left"/>
        <w:rPr>
          <w:sz w:val="24"/>
        </w:rPr>
      </w:pPr>
      <w:r>
        <w:rPr>
          <w:rFonts w:hint="eastAsia"/>
          <w:b/>
          <w:sz w:val="24"/>
        </w:rPr>
        <w:t>三、服务周期：</w:t>
      </w:r>
      <w:r>
        <w:rPr>
          <w:rFonts w:hint="eastAsia"/>
          <w:sz w:val="24"/>
        </w:rPr>
        <w:t>1年（2024年7月24日至2025年7月23日）。</w:t>
      </w:r>
    </w:p>
    <w:p>
      <w:pPr>
        <w:spacing w:line="440" w:lineRule="exact"/>
        <w:ind w:firstLine="420" w:firstLineChars="200"/>
        <w:jc w:val="left"/>
      </w:pPr>
    </w:p>
    <w:p>
      <w:pPr>
        <w:spacing w:line="440" w:lineRule="exact"/>
        <w:ind w:firstLine="482" w:firstLineChars="200"/>
        <w:jc w:val="left"/>
        <w:rPr>
          <w:sz w:val="24"/>
        </w:rPr>
      </w:pPr>
      <w:r>
        <w:rPr>
          <w:rFonts w:hint="eastAsia"/>
          <w:b/>
          <w:sz w:val="24"/>
        </w:rPr>
        <w:t>四、保密要求：</w:t>
      </w:r>
      <w:r>
        <w:rPr>
          <w:rFonts w:hint="eastAsia"/>
          <w:sz w:val="24"/>
        </w:rPr>
        <w:t>对平台所有信息予以保密。未经甲方书面授权，不得以任何方式向其他组织或个人泄露、转让、许可使用、交换、赠与或与其他组织或个人共同使用或不正当使用。</w:t>
      </w:r>
    </w:p>
    <w:p>
      <w:pPr>
        <w:pStyle w:val="2"/>
      </w:pPr>
    </w:p>
    <w:p>
      <w:pPr>
        <w:spacing w:line="440" w:lineRule="exact"/>
        <w:ind w:firstLine="482" w:firstLineChars="200"/>
        <w:jc w:val="left"/>
        <w:rPr>
          <w:b/>
          <w:sz w:val="24"/>
        </w:rPr>
      </w:pPr>
      <w:r>
        <w:rPr>
          <w:rFonts w:hint="eastAsia"/>
          <w:b/>
          <w:sz w:val="24"/>
        </w:rPr>
        <w:t>五、履约保证金要求：</w:t>
      </w:r>
    </w:p>
    <w:p>
      <w:pPr>
        <w:spacing w:line="440" w:lineRule="exact"/>
        <w:ind w:firstLine="480" w:firstLineChars="200"/>
        <w:jc w:val="left"/>
        <w:rPr>
          <w:sz w:val="24"/>
        </w:rPr>
      </w:pPr>
      <w:r>
        <w:rPr>
          <w:rFonts w:hint="eastAsia"/>
          <w:sz w:val="24"/>
        </w:rPr>
        <w:t>收取比例：合同金额的5%，说明：中标人应在领取中标通知书之后签订合同之前递交履约保证金，履约保证金可采用保证金（银行转账、电汇）方式，或采用履约保函方式。履约保证金在合同期满后或项目验收合格后，中标人向采购人提交退回履约保证金的申请、履约保证金汇款凭证复印件、采购合同、采购项目验收报告原件、中标通知书复印件，前往采购人办理履约保证金退还手续。</w:t>
      </w:r>
    </w:p>
    <w:p>
      <w:pPr>
        <w:spacing w:line="440" w:lineRule="exact"/>
        <w:ind w:firstLine="422" w:firstLineChars="200"/>
        <w:jc w:val="left"/>
        <w:rPr>
          <w:b/>
          <w:bCs/>
          <w:szCs w:val="21"/>
        </w:rPr>
      </w:pPr>
      <w:r>
        <w:rPr>
          <w:b/>
          <w:bCs/>
          <w:szCs w:val="21"/>
        </w:rPr>
        <w:br w:type="page"/>
      </w:r>
    </w:p>
    <w:p>
      <w:pPr>
        <w:pBdr>
          <w:bottom w:val="double" w:color="auto" w:sz="4" w:space="1"/>
        </w:pBdr>
        <w:spacing w:line="360" w:lineRule="auto"/>
        <w:jc w:val="center"/>
        <w:rPr>
          <w:b/>
          <w:sz w:val="24"/>
        </w:rPr>
      </w:pPr>
      <w:r>
        <w:rPr>
          <w:rFonts w:hint="eastAsia"/>
          <w:b/>
          <w:bCs/>
          <w:szCs w:val="21"/>
        </w:rPr>
        <w:t>二、</w:t>
      </w:r>
      <w:r>
        <w:rPr>
          <w:rFonts w:hint="eastAsia"/>
          <w:b/>
          <w:sz w:val="24"/>
        </w:rPr>
        <w:t>技术服务要求</w:t>
      </w:r>
    </w:p>
    <w:p>
      <w:pPr>
        <w:spacing w:line="440" w:lineRule="exact"/>
        <w:ind w:firstLine="482" w:firstLineChars="200"/>
        <w:jc w:val="left"/>
        <w:rPr>
          <w:b/>
          <w:sz w:val="24"/>
        </w:rPr>
      </w:pPr>
    </w:p>
    <w:p>
      <w:pPr>
        <w:wordWrap w:val="0"/>
        <w:spacing w:line="440" w:lineRule="exact"/>
        <w:ind w:firstLine="482" w:firstLineChars="200"/>
        <w:jc w:val="left"/>
        <w:rPr>
          <w:b/>
          <w:bCs/>
          <w:sz w:val="24"/>
        </w:rPr>
      </w:pPr>
      <w:r>
        <w:rPr>
          <w:rFonts w:hint="eastAsia"/>
          <w:b/>
          <w:bCs/>
          <w:sz w:val="24"/>
        </w:rPr>
        <w:t>一、项目概况</w:t>
      </w:r>
    </w:p>
    <w:p>
      <w:pPr>
        <w:wordWrap w:val="0"/>
        <w:spacing w:line="440" w:lineRule="exact"/>
        <w:ind w:firstLine="480" w:firstLineChars="200"/>
        <w:jc w:val="left"/>
        <w:rPr>
          <w:bCs/>
          <w:sz w:val="24"/>
        </w:rPr>
      </w:pPr>
      <w:r>
        <w:rPr>
          <w:rFonts w:hint="eastAsia"/>
          <w:bCs/>
          <w:sz w:val="24"/>
        </w:rPr>
        <w:t>为不断加强民政资金风险防范，确保各项民政政策的落实落细，提升全市民政资金管理水平，我局于2019年规划建设了东莞市民政资金发放与监管信息平台（以下简称“平台”）。平台建成以来，不断强化和落实以“构建一个平台、覆盖两级体系，形成一张网络”的资金监管模式，全面统一资金监管、统一整合政策资源、统一贯通数据共享，实现民政政策保障、资金下拨、资金支出、资金发放等过程管理，建立事前稽核预警、事中监管督办、事后跟踪检查机制，堵塞管理漏洞、扫除监管盲点。</w:t>
      </w:r>
    </w:p>
    <w:p>
      <w:pPr>
        <w:wordWrap w:val="0"/>
        <w:spacing w:line="440" w:lineRule="exact"/>
        <w:ind w:firstLine="480" w:firstLineChars="200"/>
        <w:jc w:val="left"/>
        <w:rPr>
          <w:bCs/>
          <w:sz w:val="24"/>
        </w:rPr>
      </w:pPr>
      <w:r>
        <w:rPr>
          <w:rFonts w:hint="eastAsia"/>
          <w:bCs/>
          <w:sz w:val="24"/>
        </w:rPr>
        <w:t>截至2024年5月，我市33个镇街（园区）各类民政对象共计229，095人。其中高龄老人195,386人、低保对象7,230人/3,598户、特困人员793人、困难残疾人生活补3,284人、重度残疾人护理补22,142人、孤困儿童260人。已纳入平台管理的资金项目共计36项。2023年7月至2024年5月各类民政资金发放总量约4.9亿元。</w:t>
      </w:r>
    </w:p>
    <w:p>
      <w:pPr>
        <w:wordWrap w:val="0"/>
        <w:spacing w:line="440" w:lineRule="exact"/>
        <w:ind w:firstLine="482" w:firstLineChars="200"/>
        <w:jc w:val="left"/>
        <w:rPr>
          <w:b/>
          <w:bCs/>
          <w:sz w:val="24"/>
        </w:rPr>
      </w:pPr>
      <w:r>
        <w:rPr>
          <w:rFonts w:hint="eastAsia"/>
          <w:b/>
          <w:bCs/>
          <w:sz w:val="24"/>
        </w:rPr>
        <w:t>二、项目目标</w:t>
      </w:r>
    </w:p>
    <w:p>
      <w:pPr>
        <w:wordWrap w:val="0"/>
        <w:spacing w:line="440" w:lineRule="exact"/>
        <w:ind w:firstLine="480" w:firstLineChars="200"/>
        <w:jc w:val="left"/>
        <w:rPr>
          <w:bCs/>
          <w:sz w:val="24"/>
        </w:rPr>
      </w:pPr>
      <w:r>
        <w:rPr>
          <w:rFonts w:hint="eastAsia"/>
          <w:bCs/>
          <w:sz w:val="24"/>
        </w:rPr>
        <w:t>按照《广东省民政厅关于印发〈广东民政数据专项治理三年行动方案（2022-2024年）〉的通知》（粤民函〔2022〕58号)文件精神，结合东莞市民政工作实际情况，在平台现有基础上，进一步发挥平台作用，提升精细化管理水平，委托第三方机构对平台运行提供有关服务保障，其目标如下：</w:t>
      </w:r>
    </w:p>
    <w:p>
      <w:pPr>
        <w:wordWrap w:val="0"/>
        <w:spacing w:line="440" w:lineRule="exact"/>
        <w:ind w:firstLine="480" w:firstLineChars="200"/>
        <w:jc w:val="left"/>
        <w:rPr>
          <w:bCs/>
          <w:sz w:val="24"/>
        </w:rPr>
      </w:pPr>
      <w:r>
        <w:rPr>
          <w:rFonts w:hint="eastAsia"/>
          <w:bCs/>
          <w:sz w:val="24"/>
        </w:rPr>
        <w:t>（一）依托平台的银行账户稽核与死亡比对预警机制，通过与市人力资源和社会保障局、公安局、卫健局等有关部门及局内部数据共享进行比对，为全市民政对象做好发放数据精准服务，协调各镇街（园区）处置好各项预警信息，防止死亡多发，各类多重身份人员重复发放，逐步建立健全社会救助对象信息跨部门定期核对机制，规避各项资金风险安全隐患。</w:t>
      </w:r>
    </w:p>
    <w:p>
      <w:pPr>
        <w:wordWrap w:val="0"/>
        <w:spacing w:line="440" w:lineRule="exact"/>
        <w:ind w:firstLine="480" w:firstLineChars="200"/>
        <w:jc w:val="left"/>
        <w:rPr>
          <w:bCs/>
          <w:sz w:val="24"/>
        </w:rPr>
      </w:pPr>
      <w:r>
        <w:rPr>
          <w:rFonts w:hint="eastAsia"/>
          <w:bCs/>
          <w:sz w:val="24"/>
        </w:rPr>
        <w:t>（二）加强我市民政资金发放监督管理，依托平台建立市、镇街（园区）两级民政专项资金监管体系，通过与“数字财政”数据对接方式进行精准、安全、高效的发放，避免资金发放人为干预的风险，实现闭环管理。</w:t>
      </w:r>
    </w:p>
    <w:p>
      <w:pPr>
        <w:wordWrap w:val="0"/>
        <w:spacing w:line="440" w:lineRule="exact"/>
        <w:ind w:firstLine="480" w:firstLineChars="200"/>
        <w:jc w:val="left"/>
        <w:rPr>
          <w:bCs/>
          <w:sz w:val="24"/>
        </w:rPr>
      </w:pPr>
      <w:r>
        <w:rPr>
          <w:rFonts w:hint="eastAsia"/>
          <w:bCs/>
          <w:sz w:val="24"/>
        </w:rPr>
        <w:t>（三）配合采购人完成“东莞市一体化政务平台”莞财扶助平台”等有关数字平台对接工作，实现数据及应用的互联互通。</w:t>
      </w:r>
    </w:p>
    <w:p>
      <w:pPr>
        <w:wordWrap w:val="0"/>
        <w:spacing w:line="440" w:lineRule="exact"/>
        <w:ind w:firstLine="482" w:firstLineChars="200"/>
        <w:jc w:val="left"/>
        <w:rPr>
          <w:b/>
          <w:bCs/>
          <w:sz w:val="24"/>
        </w:rPr>
      </w:pPr>
    </w:p>
    <w:p>
      <w:pPr>
        <w:wordWrap w:val="0"/>
        <w:spacing w:line="440" w:lineRule="exact"/>
        <w:ind w:firstLine="482" w:firstLineChars="200"/>
        <w:jc w:val="left"/>
        <w:rPr>
          <w:b/>
          <w:bCs/>
          <w:sz w:val="24"/>
        </w:rPr>
      </w:pPr>
      <w:r>
        <w:rPr>
          <w:rFonts w:hint="eastAsia"/>
          <w:b/>
          <w:bCs/>
          <w:sz w:val="24"/>
        </w:rPr>
        <w:t>三、项目需求</w:t>
      </w:r>
    </w:p>
    <w:p>
      <w:pPr>
        <w:wordWrap w:val="0"/>
        <w:spacing w:line="440" w:lineRule="exact"/>
        <w:ind w:firstLine="482" w:firstLineChars="200"/>
        <w:jc w:val="left"/>
        <w:rPr>
          <w:b/>
          <w:bCs/>
          <w:sz w:val="24"/>
        </w:rPr>
      </w:pPr>
      <w:r>
        <w:rPr>
          <w:rFonts w:hint="eastAsia"/>
          <w:b/>
          <w:bCs/>
          <w:sz w:val="24"/>
        </w:rPr>
        <w:t>（一）业务需求</w:t>
      </w:r>
    </w:p>
    <w:p>
      <w:pPr>
        <w:wordWrap w:val="0"/>
        <w:spacing w:line="440" w:lineRule="exact"/>
        <w:ind w:firstLine="480" w:firstLineChars="200"/>
        <w:jc w:val="left"/>
        <w:rPr>
          <w:bCs/>
          <w:sz w:val="24"/>
        </w:rPr>
      </w:pPr>
      <w:r>
        <w:rPr>
          <w:rFonts w:hint="eastAsia"/>
          <w:bCs/>
          <w:sz w:val="24"/>
        </w:rPr>
        <w:t>1.资金发放过程监管</w:t>
      </w:r>
    </w:p>
    <w:p>
      <w:pPr>
        <w:wordWrap w:val="0"/>
        <w:spacing w:line="440" w:lineRule="exact"/>
        <w:ind w:firstLine="480" w:firstLineChars="200"/>
        <w:jc w:val="left"/>
        <w:rPr>
          <w:bCs/>
          <w:sz w:val="24"/>
        </w:rPr>
      </w:pPr>
      <w:r>
        <w:rPr>
          <w:rFonts w:hint="eastAsia"/>
          <w:bCs/>
          <w:sz w:val="24"/>
        </w:rPr>
        <w:t>东莞市33个镇街（园区）的所有民政对象发放账目规范化和民政对象信息精准化管理，对在册享受的民政对象信息进行姓名、身份证号、银行账户、死亡信息、享受政策（发放标准）、政策调标、政策互斥、实际发放进行数据比对，对异常情况进行分析与判定，并通过“数字财政”电子报盘发放和回盘稽核等手段来实现大数据比对分析和电子化监管，持续强化各类民政对象信息、账户及补贴资金发放的动态监管，按时形成数据报告。同时，对于平台发现或预警的问题，积极协助督促落实。</w:t>
      </w:r>
    </w:p>
    <w:p>
      <w:pPr>
        <w:wordWrap w:val="0"/>
        <w:spacing w:line="440" w:lineRule="exact"/>
        <w:ind w:firstLine="480" w:firstLineChars="200"/>
        <w:jc w:val="left"/>
        <w:rPr>
          <w:bCs/>
          <w:sz w:val="24"/>
        </w:rPr>
      </w:pPr>
      <w:r>
        <w:rPr>
          <w:rFonts w:hint="eastAsia"/>
          <w:bCs/>
          <w:sz w:val="24"/>
        </w:rPr>
        <w:t>2.转移支付信息管理</w:t>
      </w:r>
    </w:p>
    <w:p>
      <w:pPr>
        <w:wordWrap w:val="0"/>
        <w:spacing w:line="440" w:lineRule="exact"/>
        <w:ind w:firstLine="480" w:firstLineChars="200"/>
        <w:jc w:val="left"/>
        <w:rPr>
          <w:bCs/>
          <w:sz w:val="24"/>
        </w:rPr>
      </w:pPr>
      <w:r>
        <w:rPr>
          <w:rFonts w:hint="eastAsia"/>
          <w:bCs/>
          <w:sz w:val="24"/>
        </w:rPr>
        <w:t>依托平台，协助市级下拨资金的登记，以及各镇街（园区）对下拨资金的支出登记。</w:t>
      </w:r>
    </w:p>
    <w:p>
      <w:pPr>
        <w:wordWrap w:val="0"/>
        <w:spacing w:line="440" w:lineRule="exact"/>
        <w:ind w:firstLine="480" w:firstLineChars="200"/>
        <w:jc w:val="left"/>
        <w:rPr>
          <w:bCs/>
          <w:sz w:val="24"/>
        </w:rPr>
      </w:pPr>
      <w:r>
        <w:rPr>
          <w:rFonts w:hint="eastAsia"/>
          <w:bCs/>
          <w:sz w:val="24"/>
        </w:rPr>
        <w:t>3.督促及时录入信息</w:t>
      </w:r>
    </w:p>
    <w:p>
      <w:pPr>
        <w:wordWrap w:val="0"/>
        <w:spacing w:line="440" w:lineRule="exact"/>
        <w:ind w:firstLine="480" w:firstLineChars="200"/>
        <w:jc w:val="left"/>
        <w:rPr>
          <w:bCs/>
          <w:sz w:val="24"/>
        </w:rPr>
      </w:pPr>
      <w:r>
        <w:rPr>
          <w:rFonts w:hint="eastAsia"/>
          <w:bCs/>
          <w:sz w:val="24"/>
        </w:rPr>
        <w:t>协助市民政局各有关业务科，按照清单</w:t>
      </w:r>
      <w:r>
        <w:rPr>
          <w:rFonts w:hint="eastAsia"/>
          <w:b/>
          <w:bCs/>
          <w:sz w:val="24"/>
        </w:rPr>
        <w:t>（附件1）</w:t>
      </w:r>
      <w:r>
        <w:rPr>
          <w:rFonts w:hint="eastAsia"/>
          <w:bCs/>
          <w:sz w:val="24"/>
        </w:rPr>
        <w:t>督促各镇街（园区）及时将补贴资金纳入平台管理与发放，定期将信息录入和发放情况进行登记并反馈。</w:t>
      </w:r>
    </w:p>
    <w:p>
      <w:pPr>
        <w:wordWrap w:val="0"/>
        <w:spacing w:line="440" w:lineRule="exact"/>
        <w:ind w:firstLine="480" w:firstLineChars="200"/>
        <w:jc w:val="left"/>
        <w:rPr>
          <w:bCs/>
          <w:sz w:val="24"/>
        </w:rPr>
      </w:pPr>
      <w:r>
        <w:rPr>
          <w:rFonts w:hint="eastAsia"/>
          <w:bCs/>
          <w:sz w:val="24"/>
        </w:rPr>
        <w:t>4.系统对接</w:t>
      </w:r>
    </w:p>
    <w:p>
      <w:pPr>
        <w:wordWrap w:val="0"/>
        <w:spacing w:line="440" w:lineRule="exact"/>
        <w:ind w:firstLine="480" w:firstLineChars="200"/>
        <w:jc w:val="left"/>
        <w:rPr>
          <w:bCs/>
          <w:sz w:val="24"/>
        </w:rPr>
      </w:pPr>
      <w:r>
        <w:rPr>
          <w:rFonts w:hint="eastAsia"/>
          <w:bCs/>
          <w:sz w:val="24"/>
        </w:rPr>
        <w:t>按照民政局有关业务科要求，平台与“民生大莞家”信息系统对接，实现资金支出情况查询，信息分析和数据展现。</w:t>
      </w:r>
    </w:p>
    <w:p>
      <w:pPr>
        <w:wordWrap w:val="0"/>
        <w:spacing w:line="440" w:lineRule="exact"/>
        <w:ind w:firstLine="482" w:firstLineChars="200"/>
        <w:jc w:val="left"/>
        <w:rPr>
          <w:b/>
          <w:bCs/>
          <w:sz w:val="24"/>
        </w:rPr>
      </w:pPr>
      <w:r>
        <w:rPr>
          <w:rFonts w:hint="eastAsia"/>
          <w:b/>
          <w:bCs/>
          <w:sz w:val="24"/>
        </w:rPr>
        <w:t>（二）服务内容</w:t>
      </w:r>
    </w:p>
    <w:p>
      <w:pPr>
        <w:wordWrap w:val="0"/>
        <w:spacing w:line="440" w:lineRule="exact"/>
        <w:ind w:firstLine="480" w:firstLineChars="200"/>
        <w:jc w:val="left"/>
        <w:rPr>
          <w:bCs/>
          <w:sz w:val="24"/>
        </w:rPr>
      </w:pPr>
      <w:r>
        <w:rPr>
          <w:rFonts w:hint="eastAsia"/>
          <w:bCs/>
          <w:sz w:val="24"/>
        </w:rPr>
        <w:t>1.数据共享与比对</w:t>
      </w:r>
    </w:p>
    <w:p>
      <w:pPr>
        <w:wordWrap w:val="0"/>
        <w:spacing w:line="440" w:lineRule="exact"/>
        <w:ind w:firstLine="480" w:firstLineChars="200"/>
        <w:jc w:val="left"/>
        <w:rPr>
          <w:bCs/>
          <w:sz w:val="24"/>
        </w:rPr>
      </w:pPr>
      <w:r>
        <w:rPr>
          <w:rFonts w:hint="eastAsia"/>
          <w:bCs/>
          <w:sz w:val="24"/>
        </w:rPr>
        <w:t>（1）数据共享</w:t>
      </w:r>
    </w:p>
    <w:p>
      <w:pPr>
        <w:wordWrap w:val="0"/>
        <w:spacing w:line="440" w:lineRule="exact"/>
        <w:ind w:firstLine="480" w:firstLineChars="200"/>
        <w:jc w:val="left"/>
        <w:rPr>
          <w:bCs/>
          <w:sz w:val="24"/>
        </w:rPr>
      </w:pPr>
      <w:r>
        <w:rPr>
          <w:rFonts w:hint="eastAsia"/>
          <w:bCs/>
          <w:sz w:val="24"/>
        </w:rPr>
        <w:t>在市民政局的指导下，协调市人社、公安、卫健、残联等相关单位，协助推动有关单位信息共享机制和通道建设、信息交换与共享、信息比对与反馈。</w:t>
      </w:r>
    </w:p>
    <w:p>
      <w:pPr>
        <w:wordWrap w:val="0"/>
        <w:spacing w:line="440" w:lineRule="exact"/>
        <w:ind w:firstLine="480" w:firstLineChars="200"/>
        <w:jc w:val="left"/>
        <w:rPr>
          <w:bCs/>
          <w:sz w:val="24"/>
        </w:rPr>
      </w:pPr>
      <w:r>
        <w:rPr>
          <w:rFonts w:hint="eastAsia"/>
          <w:bCs/>
          <w:sz w:val="24"/>
        </w:rPr>
        <w:t>（2）数据比对</w:t>
      </w:r>
    </w:p>
    <w:p>
      <w:pPr>
        <w:wordWrap w:val="0"/>
        <w:spacing w:line="440" w:lineRule="exact"/>
        <w:ind w:firstLine="480" w:firstLineChars="200"/>
        <w:jc w:val="left"/>
        <w:rPr>
          <w:bCs/>
          <w:sz w:val="24"/>
        </w:rPr>
      </w:pPr>
      <w:r>
        <w:rPr>
          <w:rFonts w:hint="eastAsia"/>
          <w:bCs/>
          <w:sz w:val="24"/>
        </w:rPr>
        <w:t>实名比对：对纳入平台的各类民政对象，委托公安（银行）提供实名稽核服务，确保各类民政对象姓名和身份证号能顺利通过实名稽核。如有错误，及时通知相关镇街（园区）核实身份证原件督办并修正（生僻字另行单独记录）。</w:t>
      </w:r>
    </w:p>
    <w:p>
      <w:pPr>
        <w:wordWrap w:val="0"/>
        <w:spacing w:line="440" w:lineRule="exact"/>
        <w:ind w:firstLine="480" w:firstLineChars="200"/>
        <w:jc w:val="left"/>
        <w:rPr>
          <w:bCs/>
          <w:sz w:val="24"/>
        </w:rPr>
      </w:pPr>
      <w:r>
        <w:rPr>
          <w:rFonts w:hint="eastAsia"/>
          <w:bCs/>
          <w:sz w:val="24"/>
        </w:rPr>
        <w:t>死亡比对：对纳入平台的各类民政对象，提供死亡比对预警，确保死亡预警数据得到及时核查。如有死亡一致或疑似，及时通知相关镇街（园区）核实是否死亡，并及时停发相关待遇。已死亡多发资金，由相关镇街（园区）负责追缴退回。</w:t>
      </w:r>
    </w:p>
    <w:p>
      <w:pPr>
        <w:wordWrap w:val="0"/>
        <w:spacing w:line="440" w:lineRule="exact"/>
        <w:ind w:firstLine="480" w:firstLineChars="200"/>
        <w:jc w:val="left"/>
        <w:rPr>
          <w:bCs/>
          <w:sz w:val="24"/>
        </w:rPr>
      </w:pPr>
      <w:r>
        <w:rPr>
          <w:rFonts w:hint="eastAsia"/>
          <w:bCs/>
          <w:sz w:val="24"/>
        </w:rPr>
        <w:t>多重身份重复享受待遇人员比对：对纳入平台的各类民政对象，提供低保、特困、低保边缘、困难残疾人、重度残疾人、高龄老人、居家养老老人、孤困儿童比对预警，确保多重身份重复享受待遇人员得到及时核查。如有多重身份重复享受待遇人员，及时通知相关镇街（园区）核实是否属实，并及时停发相关待遇。已重复享受多发资金，由相关镇街（园区）负责追缴退回。</w:t>
      </w:r>
    </w:p>
    <w:p>
      <w:pPr>
        <w:wordWrap w:val="0"/>
        <w:spacing w:line="440" w:lineRule="exact"/>
        <w:ind w:firstLine="480" w:firstLineChars="200"/>
        <w:jc w:val="left"/>
        <w:rPr>
          <w:bCs/>
          <w:sz w:val="24"/>
        </w:rPr>
      </w:pPr>
      <w:r>
        <w:rPr>
          <w:rFonts w:hint="eastAsia"/>
          <w:bCs/>
          <w:sz w:val="24"/>
        </w:rPr>
        <w:t>各类民政对象调标：对平台的各类民政对象，按照最新的政策文件，调整相关业务参数，计算调标应发、调标补发核对工作。</w:t>
      </w:r>
    </w:p>
    <w:p>
      <w:pPr>
        <w:wordWrap w:val="0"/>
        <w:spacing w:line="440" w:lineRule="exact"/>
        <w:ind w:firstLine="480" w:firstLineChars="200"/>
        <w:jc w:val="left"/>
        <w:rPr>
          <w:bCs/>
          <w:sz w:val="24"/>
        </w:rPr>
      </w:pPr>
      <w:r>
        <w:rPr>
          <w:rFonts w:hint="eastAsia"/>
          <w:bCs/>
          <w:sz w:val="24"/>
        </w:rPr>
        <w:t>社保卡切换比对：根据人力资源和社会保障局反馈的社保卡信息，持续对低保、分散特困、低保边缘、事实无人抚养儿童、社会散居孤儿和残疾人两项补贴等各个类别的对象收款账户进行核对。</w:t>
      </w:r>
    </w:p>
    <w:p>
      <w:pPr>
        <w:wordWrap w:val="0"/>
        <w:spacing w:line="440" w:lineRule="exact"/>
        <w:ind w:firstLine="480" w:firstLineChars="200"/>
        <w:jc w:val="left"/>
        <w:rPr>
          <w:bCs/>
          <w:sz w:val="24"/>
        </w:rPr>
      </w:pPr>
      <w:r>
        <w:rPr>
          <w:rFonts w:hint="eastAsia"/>
          <w:bCs/>
          <w:sz w:val="24"/>
        </w:rPr>
        <w:t>2.预警信息反馈、处理督导</w:t>
      </w:r>
    </w:p>
    <w:p>
      <w:pPr>
        <w:wordWrap w:val="0"/>
        <w:spacing w:line="440" w:lineRule="exact"/>
        <w:ind w:firstLine="480" w:firstLineChars="200"/>
        <w:jc w:val="left"/>
        <w:rPr>
          <w:bCs/>
          <w:sz w:val="24"/>
        </w:rPr>
      </w:pPr>
      <w:r>
        <w:rPr>
          <w:rFonts w:hint="eastAsia"/>
          <w:bCs/>
          <w:sz w:val="24"/>
        </w:rPr>
        <w:t>经过对数据共享比对发现的各种问题，配合、协助相关镇街查找问题原因，及时解决问题。对于执行过程中遇到的问题，从系统建设和功能扩展、工作流程等方面进行完善。</w:t>
      </w:r>
    </w:p>
    <w:p>
      <w:pPr>
        <w:wordWrap w:val="0"/>
        <w:spacing w:line="440" w:lineRule="exact"/>
        <w:ind w:firstLine="480" w:firstLineChars="200"/>
        <w:jc w:val="left"/>
        <w:rPr>
          <w:bCs/>
          <w:sz w:val="24"/>
        </w:rPr>
      </w:pPr>
      <w:r>
        <w:rPr>
          <w:rFonts w:hint="eastAsia"/>
          <w:bCs/>
          <w:sz w:val="24"/>
        </w:rPr>
        <w:t>3.资金发放数据处理与系统对账</w:t>
      </w:r>
    </w:p>
    <w:p>
      <w:pPr>
        <w:wordWrap w:val="0"/>
        <w:spacing w:line="440" w:lineRule="exact"/>
        <w:ind w:firstLine="480" w:firstLineChars="200"/>
        <w:jc w:val="left"/>
        <w:rPr>
          <w:bCs/>
          <w:sz w:val="24"/>
        </w:rPr>
      </w:pPr>
      <w:r>
        <w:rPr>
          <w:rFonts w:hint="eastAsia"/>
          <w:bCs/>
          <w:sz w:val="24"/>
        </w:rPr>
        <w:t>协助各镇街做好发放数据的处理，及时对业务系统发放信息与财政或者银行发放信息进行核对，有差异的部分追溯原因，反馈给相关镇街（园区）核对相关问题并予以纠正，确保资金及时、足额、精准的发放。</w:t>
      </w:r>
    </w:p>
    <w:p>
      <w:pPr>
        <w:wordWrap w:val="0"/>
        <w:spacing w:line="440" w:lineRule="exact"/>
        <w:ind w:firstLine="480" w:firstLineChars="200"/>
        <w:jc w:val="left"/>
        <w:rPr>
          <w:bCs/>
          <w:sz w:val="24"/>
        </w:rPr>
      </w:pPr>
      <w:r>
        <w:rPr>
          <w:rFonts w:hint="eastAsia"/>
          <w:bCs/>
          <w:sz w:val="24"/>
        </w:rPr>
        <w:t>4.平台日常维护升级</w:t>
      </w:r>
    </w:p>
    <w:p>
      <w:pPr>
        <w:wordWrap w:val="0"/>
        <w:spacing w:line="440" w:lineRule="exact"/>
        <w:ind w:firstLine="480" w:firstLineChars="200"/>
        <w:jc w:val="left"/>
        <w:rPr>
          <w:bCs/>
          <w:sz w:val="24"/>
        </w:rPr>
      </w:pPr>
      <w:r>
        <w:rPr>
          <w:rFonts w:hint="eastAsia"/>
          <w:bCs/>
          <w:sz w:val="24"/>
        </w:rPr>
        <w:t>根据监管要求和政策调整及时对平台进行系统升级，程序更新和服务器巡检等日常维护工作。</w:t>
      </w:r>
    </w:p>
    <w:p>
      <w:pPr>
        <w:wordWrap w:val="0"/>
        <w:spacing w:line="440" w:lineRule="exact"/>
        <w:ind w:firstLine="480" w:firstLineChars="200"/>
        <w:jc w:val="left"/>
        <w:rPr>
          <w:bCs/>
          <w:sz w:val="24"/>
        </w:rPr>
      </w:pPr>
      <w:r>
        <w:rPr>
          <w:rFonts w:hint="eastAsia"/>
          <w:bCs/>
          <w:sz w:val="24"/>
        </w:rPr>
        <w:t>5.平台的使用操作指导和培训</w:t>
      </w:r>
    </w:p>
    <w:p>
      <w:pPr>
        <w:wordWrap w:val="0"/>
        <w:spacing w:line="440" w:lineRule="exact"/>
        <w:ind w:firstLine="480" w:firstLineChars="200"/>
        <w:jc w:val="left"/>
        <w:rPr>
          <w:bCs/>
          <w:sz w:val="24"/>
        </w:rPr>
      </w:pPr>
      <w:r>
        <w:rPr>
          <w:rFonts w:hint="eastAsia"/>
          <w:bCs/>
          <w:sz w:val="24"/>
        </w:rPr>
        <w:t>对各镇街、园区工作人员进行各种指导和培训。指导和培训的形式可以包括线上、电话进行，也可以安排集中或者一对一的面对面培训和指导。</w:t>
      </w:r>
    </w:p>
    <w:p>
      <w:pPr>
        <w:wordWrap w:val="0"/>
        <w:spacing w:line="440" w:lineRule="exact"/>
        <w:ind w:firstLine="482" w:firstLineChars="200"/>
        <w:jc w:val="left"/>
        <w:rPr>
          <w:b/>
          <w:bCs/>
          <w:sz w:val="24"/>
        </w:rPr>
      </w:pPr>
    </w:p>
    <w:p>
      <w:pPr>
        <w:wordWrap w:val="0"/>
        <w:spacing w:line="440" w:lineRule="exact"/>
        <w:ind w:firstLine="482" w:firstLineChars="200"/>
        <w:jc w:val="left"/>
        <w:rPr>
          <w:b/>
          <w:bCs/>
          <w:sz w:val="24"/>
        </w:rPr>
      </w:pPr>
      <w:r>
        <w:rPr>
          <w:rFonts w:hint="eastAsia"/>
          <w:b/>
          <w:bCs/>
          <w:sz w:val="24"/>
        </w:rPr>
        <w:t>四、实施要求</w:t>
      </w:r>
    </w:p>
    <w:p>
      <w:pPr>
        <w:wordWrap w:val="0"/>
        <w:spacing w:line="440" w:lineRule="exact"/>
        <w:ind w:firstLine="482" w:firstLineChars="200"/>
        <w:jc w:val="left"/>
        <w:rPr>
          <w:b/>
          <w:bCs/>
          <w:sz w:val="24"/>
        </w:rPr>
      </w:pPr>
      <w:r>
        <w:rPr>
          <w:rFonts w:hint="eastAsia"/>
          <w:b/>
          <w:bCs/>
          <w:sz w:val="24"/>
        </w:rPr>
        <w:t>（一）实施方案要求</w:t>
      </w:r>
    </w:p>
    <w:p>
      <w:pPr>
        <w:wordWrap w:val="0"/>
        <w:spacing w:line="440" w:lineRule="exact"/>
        <w:ind w:firstLine="480" w:firstLineChars="200"/>
        <w:jc w:val="left"/>
        <w:rPr>
          <w:bCs/>
          <w:sz w:val="24"/>
        </w:rPr>
      </w:pPr>
      <w:r>
        <w:rPr>
          <w:rFonts w:hint="eastAsia"/>
          <w:bCs/>
          <w:sz w:val="24"/>
        </w:rPr>
        <w:t>投标人在投标文件中提供完整、切实可行的实施方案。实施方案应包括相关政策文件解读、需求描述与分析、跨机构共享数据交换、内部数据共享交换、系统培训、服务内容、项目验收等。</w:t>
      </w:r>
    </w:p>
    <w:p>
      <w:pPr>
        <w:wordWrap w:val="0"/>
        <w:spacing w:line="440" w:lineRule="exact"/>
        <w:ind w:firstLine="482" w:firstLineChars="200"/>
        <w:jc w:val="left"/>
        <w:rPr>
          <w:b/>
          <w:bCs/>
          <w:sz w:val="24"/>
        </w:rPr>
      </w:pPr>
      <w:r>
        <w:rPr>
          <w:rFonts w:hint="eastAsia"/>
          <w:b/>
          <w:bCs/>
          <w:sz w:val="24"/>
        </w:rPr>
        <w:t>（二）服务保障要求</w:t>
      </w:r>
    </w:p>
    <w:p>
      <w:pPr>
        <w:wordWrap w:val="0"/>
        <w:spacing w:line="440" w:lineRule="exact"/>
        <w:ind w:firstLine="480" w:firstLineChars="200"/>
        <w:jc w:val="left"/>
        <w:rPr>
          <w:bCs/>
          <w:sz w:val="24"/>
        </w:rPr>
      </w:pPr>
      <w:r>
        <w:rPr>
          <w:rFonts w:hint="eastAsia"/>
          <w:bCs/>
          <w:sz w:val="24"/>
        </w:rPr>
        <w:t>1.要求投标人应有服务团队处理所有服务，可提供5*8小时的技术服务支持。在接到服务通知并确认后2小时内响应，查找原因，提出解决方案至消除，完全恢复正常服务为止，修复时间一般应不超过1个工作日。</w:t>
      </w:r>
    </w:p>
    <w:p>
      <w:pPr>
        <w:wordWrap w:val="0"/>
        <w:spacing w:line="440" w:lineRule="exact"/>
        <w:ind w:firstLine="480" w:firstLineChars="200"/>
        <w:jc w:val="left"/>
        <w:rPr>
          <w:bCs/>
          <w:sz w:val="24"/>
        </w:rPr>
      </w:pPr>
      <w:r>
        <w:rPr>
          <w:rFonts w:hint="eastAsia"/>
          <w:bCs/>
          <w:sz w:val="24"/>
        </w:rPr>
        <w:t>2.要求投标人需做出无推诿承诺，即提供特殊措施，无论由于哪一方产生的问题而使系统发生不正常情况时，在得到采购人通知后，需立即派工程师到现场，全力协助，使系统尽快恢复正常。</w:t>
      </w:r>
    </w:p>
    <w:p>
      <w:pPr>
        <w:wordWrap w:val="0"/>
        <w:spacing w:line="440" w:lineRule="exact"/>
        <w:ind w:firstLine="482" w:firstLineChars="200"/>
        <w:jc w:val="left"/>
        <w:rPr>
          <w:b/>
          <w:bCs/>
          <w:sz w:val="24"/>
        </w:rPr>
      </w:pPr>
      <w:r>
        <w:rPr>
          <w:rFonts w:hint="eastAsia"/>
          <w:b/>
          <w:bCs/>
          <w:sz w:val="24"/>
        </w:rPr>
        <w:t>（三）培训要求</w:t>
      </w:r>
    </w:p>
    <w:p>
      <w:pPr>
        <w:wordWrap w:val="0"/>
        <w:spacing w:line="440" w:lineRule="exact"/>
        <w:ind w:firstLine="480" w:firstLineChars="200"/>
        <w:jc w:val="left"/>
        <w:rPr>
          <w:bCs/>
          <w:sz w:val="24"/>
        </w:rPr>
      </w:pPr>
      <w:r>
        <w:rPr>
          <w:rFonts w:hint="eastAsia"/>
          <w:bCs/>
          <w:sz w:val="24"/>
        </w:rPr>
        <w:t>服务商承诺将选派采购人认可的具有相关专业资格或者实际工作经验的项目服务人员，负责本系统培训工作。</w:t>
      </w:r>
    </w:p>
    <w:p>
      <w:pPr>
        <w:wordWrap w:val="0"/>
        <w:spacing w:line="440" w:lineRule="exact"/>
        <w:ind w:firstLine="480" w:firstLineChars="200"/>
        <w:jc w:val="left"/>
        <w:rPr>
          <w:bCs/>
          <w:sz w:val="24"/>
        </w:rPr>
      </w:pPr>
      <w:r>
        <w:rPr>
          <w:rFonts w:hint="eastAsia"/>
          <w:bCs/>
          <w:sz w:val="24"/>
        </w:rPr>
        <w:t>针对市民政局做好相关系统操作使用和数据核对工作的一对一现场指导培训工作。针对33个镇街（园区）培训操作指导，提供远程电话、QQ、微信、邮件等各种形式的技术支持服务工作，同时每月持续提供系统操作答疑、数据问题排查，并提供按需上门支持服务。</w:t>
      </w:r>
    </w:p>
    <w:p>
      <w:pPr>
        <w:wordWrap w:val="0"/>
        <w:spacing w:line="440" w:lineRule="exact"/>
        <w:ind w:firstLine="482" w:firstLineChars="200"/>
        <w:jc w:val="left"/>
        <w:rPr>
          <w:b/>
          <w:bCs/>
          <w:sz w:val="24"/>
        </w:rPr>
      </w:pPr>
      <w:r>
        <w:rPr>
          <w:rFonts w:hint="eastAsia"/>
          <w:b/>
          <w:bCs/>
          <w:sz w:val="24"/>
        </w:rPr>
        <w:t>★（四）驻场人员配备要求</w:t>
      </w:r>
    </w:p>
    <w:p>
      <w:pPr>
        <w:wordWrap w:val="0"/>
        <w:spacing w:line="440" w:lineRule="exact"/>
        <w:ind w:firstLine="480" w:firstLineChars="200"/>
        <w:jc w:val="left"/>
        <w:rPr>
          <w:bCs/>
          <w:sz w:val="24"/>
        </w:rPr>
      </w:pPr>
      <w:r>
        <w:rPr>
          <w:rFonts w:hint="eastAsia"/>
          <w:bCs/>
          <w:sz w:val="24"/>
        </w:rPr>
        <w:t>1.根据项目需要，投标人应在投标文件中明确本项目的有关人员配备（以人员清单形式明确，清单包含人员姓名、身份证号码、学历等信息），驻场人员不少于4人（2名本科及以上、2名专科及以上学历，具有3年以上的运维服务经验，熟练掌握office办公软件，有较好的沟通表达能力和服务意识，年度人员变动不超过2人）。岗位上至少提供1名项目服务经理、3名数据稽核服务专员，具体包括但不限于以下要求：</w:t>
      </w:r>
    </w:p>
    <w:p>
      <w:pPr>
        <w:wordWrap w:val="0"/>
        <w:spacing w:line="440" w:lineRule="exact"/>
        <w:ind w:firstLine="480" w:firstLineChars="200"/>
        <w:jc w:val="left"/>
        <w:rPr>
          <w:bCs/>
          <w:sz w:val="24"/>
        </w:rPr>
      </w:pPr>
      <w:r>
        <w:rPr>
          <w:rFonts w:hint="eastAsia"/>
          <w:bCs/>
          <w:sz w:val="24"/>
        </w:rPr>
        <w:t>（1）配备项目服务经理要求</w:t>
      </w:r>
    </w:p>
    <w:p>
      <w:pPr>
        <w:wordWrap w:val="0"/>
        <w:spacing w:line="440" w:lineRule="exact"/>
        <w:ind w:firstLine="480" w:firstLineChars="200"/>
        <w:jc w:val="left"/>
        <w:rPr>
          <w:bCs/>
          <w:sz w:val="24"/>
        </w:rPr>
      </w:pPr>
      <w:r>
        <w:rPr>
          <w:rFonts w:hint="eastAsia"/>
          <w:bCs/>
          <w:sz w:val="24"/>
        </w:rPr>
        <w:t>负责项目运营情况介绍讲解；负责驻场员工日常工作管理；建立和完善各项规章制度，确保有效运行和实施；领导项目团队准时、优质地完成全部工作；与采购人及时沟通，即时反馈阶段性的成果，即时响应采购人项目合理需求；跟踪项目的进度，协调双方项目工作，协助采购人完成与协作单位的沟通；监督项目进展各阶段产生的文档，保证文档的完整和规范。</w:t>
      </w:r>
    </w:p>
    <w:p>
      <w:pPr>
        <w:wordWrap w:val="0"/>
        <w:spacing w:line="440" w:lineRule="exact"/>
        <w:ind w:firstLine="480" w:firstLineChars="200"/>
        <w:jc w:val="left"/>
        <w:rPr>
          <w:bCs/>
          <w:sz w:val="24"/>
        </w:rPr>
      </w:pPr>
      <w:r>
        <w:rPr>
          <w:rFonts w:hint="eastAsia"/>
          <w:bCs/>
          <w:sz w:val="24"/>
        </w:rPr>
        <w:t>（2）数据稽核服务专员要求</w:t>
      </w:r>
    </w:p>
    <w:p>
      <w:pPr>
        <w:wordWrap w:val="0"/>
        <w:spacing w:line="440" w:lineRule="exact"/>
        <w:ind w:firstLine="480" w:firstLineChars="200"/>
        <w:jc w:val="left"/>
        <w:rPr>
          <w:bCs/>
          <w:sz w:val="24"/>
        </w:rPr>
      </w:pPr>
      <w:r>
        <w:rPr>
          <w:rFonts w:hint="eastAsia"/>
          <w:bCs/>
          <w:sz w:val="24"/>
        </w:rPr>
        <w:t>制定数据稽核工作计划；根据采购人实际情况，制定合理的数据治理方案，形成标准模板；基础数据初始化、参数配置、报表配置等；镇街（园区）数据治理范围内数据收集；数据比对、督办、协助修正；提交数据治理结果报告。指定1名本科以上学历的数据稽核服务专员随时响应采购人工作调度，配合采购人完成与项目相关的工作。</w:t>
      </w:r>
    </w:p>
    <w:p>
      <w:pPr>
        <w:wordWrap w:val="0"/>
        <w:spacing w:line="440" w:lineRule="exact"/>
        <w:ind w:firstLine="482" w:firstLineChars="200"/>
        <w:jc w:val="left"/>
        <w:rPr>
          <w:b/>
          <w:bCs/>
          <w:sz w:val="24"/>
        </w:rPr>
      </w:pPr>
      <w:r>
        <w:rPr>
          <w:rFonts w:hint="eastAsia"/>
          <w:b/>
          <w:bCs/>
          <w:sz w:val="24"/>
        </w:rPr>
        <w:t>★（五）非驻场人员配备要求</w:t>
      </w:r>
    </w:p>
    <w:p>
      <w:pPr>
        <w:wordWrap w:val="0"/>
        <w:spacing w:line="440" w:lineRule="exact"/>
        <w:ind w:firstLine="480" w:firstLineChars="200"/>
        <w:jc w:val="left"/>
        <w:rPr>
          <w:bCs/>
          <w:sz w:val="24"/>
        </w:rPr>
      </w:pPr>
      <w:r>
        <w:rPr>
          <w:rFonts w:hint="eastAsia"/>
          <w:bCs/>
          <w:sz w:val="24"/>
        </w:rPr>
        <w:t>1、非驻场项目经理要求</w:t>
      </w:r>
    </w:p>
    <w:p>
      <w:pPr>
        <w:wordWrap w:val="0"/>
        <w:spacing w:line="440" w:lineRule="exact"/>
        <w:ind w:firstLine="480" w:firstLineChars="200"/>
        <w:jc w:val="left"/>
        <w:rPr>
          <w:bCs/>
          <w:sz w:val="24"/>
        </w:rPr>
      </w:pPr>
      <w:r>
        <w:rPr>
          <w:rFonts w:hint="eastAsia"/>
          <w:bCs/>
          <w:sz w:val="24"/>
        </w:rPr>
        <w:t>负责运营项目行政管理工作；负责制定项目工作计划，保障项目工作进度，监控项目运营难点重点问题，组织相关人员解决问题，并跟踪处理过程，完成民政主管部门交办的任务，本科及以上学历，具备数据治理服务类项目或运维服务类项目经验。</w:t>
      </w:r>
    </w:p>
    <w:p>
      <w:pPr>
        <w:wordWrap w:val="0"/>
        <w:spacing w:line="440" w:lineRule="exact"/>
        <w:ind w:firstLine="480" w:firstLineChars="200"/>
        <w:jc w:val="left"/>
        <w:rPr>
          <w:bCs/>
          <w:sz w:val="24"/>
        </w:rPr>
      </w:pPr>
      <w:r>
        <w:rPr>
          <w:rFonts w:hint="eastAsia"/>
          <w:bCs/>
          <w:sz w:val="24"/>
        </w:rPr>
        <w:t>2、非驻场技术支撑团队要求</w:t>
      </w:r>
    </w:p>
    <w:p>
      <w:pPr>
        <w:wordWrap w:val="0"/>
        <w:spacing w:line="440" w:lineRule="exact"/>
        <w:ind w:firstLine="480" w:firstLineChars="200"/>
        <w:jc w:val="left"/>
        <w:rPr>
          <w:bCs/>
          <w:sz w:val="24"/>
        </w:rPr>
      </w:pPr>
      <w:r>
        <w:rPr>
          <w:rFonts w:hint="eastAsia"/>
          <w:bCs/>
          <w:sz w:val="24"/>
        </w:rPr>
        <w:t>至少提供1名非驻场项目管理人员，本科及以上学历，具备数据治理服务类项目或运维服务类项目经验。</w:t>
      </w:r>
    </w:p>
    <w:p>
      <w:pPr>
        <w:wordWrap w:val="0"/>
        <w:spacing w:line="440" w:lineRule="exact"/>
        <w:ind w:firstLine="480" w:firstLineChars="200"/>
        <w:jc w:val="left"/>
        <w:rPr>
          <w:bCs/>
          <w:sz w:val="24"/>
        </w:rPr>
      </w:pPr>
    </w:p>
    <w:p>
      <w:pPr>
        <w:wordWrap w:val="0"/>
        <w:spacing w:line="440" w:lineRule="exact"/>
        <w:ind w:firstLine="482" w:firstLineChars="200"/>
        <w:jc w:val="left"/>
        <w:rPr>
          <w:b/>
          <w:bCs/>
          <w:sz w:val="24"/>
        </w:rPr>
      </w:pPr>
      <w:r>
        <w:rPr>
          <w:rFonts w:hint="eastAsia"/>
          <w:b/>
          <w:bCs/>
          <w:sz w:val="24"/>
        </w:rPr>
        <w:t>五、验收要求</w:t>
      </w:r>
    </w:p>
    <w:p>
      <w:pPr>
        <w:wordWrap w:val="0"/>
        <w:spacing w:line="440" w:lineRule="exact"/>
        <w:ind w:firstLine="480" w:firstLineChars="200"/>
        <w:jc w:val="left"/>
        <w:rPr>
          <w:bCs/>
          <w:sz w:val="24"/>
        </w:rPr>
      </w:pPr>
      <w:r>
        <w:rPr>
          <w:rFonts w:hint="eastAsia"/>
          <w:bCs/>
          <w:sz w:val="24"/>
        </w:rPr>
        <w:t>1、验收应在双方共同参加下进行，依据招标文件及合同的有关规定制定的方案进行验收，并按国家有关规定、规范进行。</w:t>
      </w:r>
    </w:p>
    <w:p>
      <w:pPr>
        <w:wordWrap w:val="0"/>
        <w:spacing w:line="440" w:lineRule="exact"/>
        <w:ind w:firstLine="480" w:firstLineChars="200"/>
        <w:jc w:val="left"/>
        <w:rPr>
          <w:bCs/>
          <w:sz w:val="24"/>
        </w:rPr>
      </w:pPr>
      <w:r>
        <w:rPr>
          <w:rFonts w:hint="eastAsia"/>
          <w:bCs/>
          <w:sz w:val="24"/>
        </w:rPr>
        <w:t>2、采购人组织项目验收小组按国家有关规定、规范进行验收，必要时邀请相关专业人员或机构参与验收。</w:t>
      </w:r>
    </w:p>
    <w:p>
      <w:pPr>
        <w:wordWrap w:val="0"/>
        <w:spacing w:line="440" w:lineRule="exact"/>
        <w:ind w:firstLine="480" w:firstLineChars="200"/>
        <w:jc w:val="left"/>
        <w:rPr>
          <w:bCs/>
          <w:sz w:val="24"/>
        </w:rPr>
      </w:pPr>
      <w:r>
        <w:rPr>
          <w:rFonts w:hint="eastAsia"/>
          <w:bCs/>
          <w:sz w:val="24"/>
        </w:rPr>
        <w:t>3、对验收不合格的部分，中标人应在采购人规定时间内及时整改完善直至合格。</w:t>
      </w:r>
    </w:p>
    <w:p>
      <w:pPr>
        <w:wordWrap w:val="0"/>
        <w:spacing w:line="440" w:lineRule="exact"/>
        <w:ind w:firstLine="480" w:firstLineChars="200"/>
        <w:jc w:val="left"/>
        <w:rPr>
          <w:bCs/>
          <w:sz w:val="24"/>
        </w:rPr>
      </w:pPr>
      <w:r>
        <w:rPr>
          <w:rFonts w:hint="eastAsia"/>
          <w:bCs/>
          <w:sz w:val="24"/>
        </w:rPr>
        <w:t>4、采购人将依照中标人服务月报告、服务周期总结报告及实际运维数据作为项目验收依据。验收不合格的，采购人有权按10000元收取违约金，并要求中标人在限定期限内重新提交。如中标人二次验收不合格的，采购人有权单方解除合同，并追究中标人的违约责任。</w:t>
      </w:r>
    </w:p>
    <w:p>
      <w:pPr>
        <w:wordWrap w:val="0"/>
        <w:spacing w:line="440" w:lineRule="exact"/>
        <w:ind w:firstLine="480" w:firstLineChars="200"/>
        <w:jc w:val="left"/>
        <w:rPr>
          <w:bCs/>
          <w:sz w:val="24"/>
        </w:rPr>
      </w:pPr>
    </w:p>
    <w:p>
      <w:pPr>
        <w:wordWrap w:val="0"/>
        <w:spacing w:line="440" w:lineRule="exact"/>
        <w:ind w:firstLine="482" w:firstLineChars="200"/>
        <w:jc w:val="left"/>
        <w:rPr>
          <w:b/>
          <w:bCs/>
          <w:sz w:val="24"/>
        </w:rPr>
      </w:pPr>
      <w:r>
        <w:rPr>
          <w:rFonts w:hint="eastAsia"/>
          <w:b/>
          <w:bCs/>
          <w:sz w:val="24"/>
        </w:rPr>
        <w:t>六、服务考核要求</w:t>
      </w:r>
    </w:p>
    <w:p>
      <w:pPr>
        <w:wordWrap w:val="0"/>
        <w:spacing w:line="440" w:lineRule="exact"/>
        <w:ind w:firstLine="480" w:firstLineChars="200"/>
        <w:jc w:val="left"/>
        <w:rPr>
          <w:bCs/>
          <w:sz w:val="24"/>
        </w:rPr>
      </w:pPr>
      <w:r>
        <w:rPr>
          <w:rFonts w:hint="eastAsia"/>
          <w:bCs/>
          <w:sz w:val="24"/>
        </w:rPr>
        <w:t>1、合同规定之日起计算服务期，其间每月对中标单位的服务情况进行评估考核</w:t>
      </w:r>
      <w:r>
        <w:rPr>
          <w:rFonts w:hint="eastAsia"/>
          <w:b/>
          <w:bCs/>
          <w:sz w:val="24"/>
        </w:rPr>
        <w:t>（具体考核内容见附件2）</w:t>
      </w:r>
      <w:r>
        <w:rPr>
          <w:rFonts w:hint="eastAsia"/>
          <w:bCs/>
          <w:sz w:val="24"/>
        </w:rPr>
        <w:t>，运营服务费用根据12个月考核平均分值进行支付。</w:t>
      </w:r>
    </w:p>
    <w:p>
      <w:pPr>
        <w:wordWrap w:val="0"/>
        <w:spacing w:line="440" w:lineRule="exact"/>
        <w:ind w:firstLine="480" w:firstLineChars="200"/>
        <w:jc w:val="left"/>
        <w:rPr>
          <w:bCs/>
          <w:sz w:val="24"/>
        </w:rPr>
      </w:pPr>
      <w:r>
        <w:rPr>
          <w:rFonts w:hint="eastAsia"/>
          <w:bCs/>
          <w:sz w:val="24"/>
        </w:rPr>
        <w:t>2、服务期内，运营服务评估考核标准如下，满分100分，考核分值在90分及以上，全额支付服务费用；考核分值在85分（含）—90分（不含），全年服务费用扣减10%；考核分值在75分（含）—85分（不含），全年服务费用扣减15%；考核分值在60分（含）—75分（不含），全年服务费用扣减30%；考核分值低于60分，全年服务费用扣减50%。</w:t>
      </w:r>
    </w:p>
    <w:p>
      <w:pPr>
        <w:wordWrap w:val="0"/>
        <w:spacing w:line="440" w:lineRule="exact"/>
        <w:ind w:firstLine="480" w:firstLineChars="200"/>
        <w:jc w:val="left"/>
        <w:rPr>
          <w:bCs/>
          <w:sz w:val="24"/>
        </w:rPr>
      </w:pPr>
      <w:r>
        <w:rPr>
          <w:rFonts w:hint="eastAsia"/>
          <w:bCs/>
          <w:sz w:val="24"/>
        </w:rPr>
        <w:t>3、巡察、审计（包括内部审计、社会审计）在检查资金监管情况的过程中，如发现问题，且问题对应考核内容，或属于中标人未落实职责的原因所造成的，在年度考核平均分值的基础上再扣减10分。</w:t>
      </w:r>
    </w:p>
    <w:p>
      <w:pPr>
        <w:wordWrap w:val="0"/>
        <w:spacing w:line="440" w:lineRule="exact"/>
        <w:ind w:firstLine="480" w:firstLineChars="200"/>
        <w:jc w:val="left"/>
        <w:rPr>
          <w:bCs/>
          <w:sz w:val="24"/>
        </w:rPr>
      </w:pPr>
    </w:p>
    <w:p>
      <w:pPr>
        <w:widowControl/>
        <w:jc w:val="left"/>
        <w:rPr>
          <w:bCs/>
          <w:sz w:val="24"/>
        </w:rPr>
      </w:pPr>
      <w:r>
        <w:rPr>
          <w:bCs/>
          <w:sz w:val="24"/>
        </w:rPr>
        <w:br w:type="page"/>
      </w:r>
    </w:p>
    <w:p>
      <w:pPr>
        <w:wordWrap w:val="0"/>
        <w:spacing w:line="440" w:lineRule="exact"/>
        <w:jc w:val="left"/>
        <w:rPr>
          <w:b/>
          <w:bCs/>
          <w:sz w:val="24"/>
        </w:rPr>
      </w:pPr>
      <w:r>
        <w:rPr>
          <w:b/>
          <w:bCs/>
          <w:sz w:val="24"/>
        </w:rPr>
        <w:t>附件</w:t>
      </w:r>
      <w:r>
        <w:rPr>
          <w:rFonts w:hint="eastAsia"/>
          <w:b/>
          <w:bCs/>
          <w:sz w:val="24"/>
        </w:rPr>
        <w:t>1</w:t>
      </w:r>
      <w:r>
        <w:rPr>
          <w:b/>
          <w:bCs/>
          <w:sz w:val="24"/>
        </w:rPr>
        <w:t>：纳入平台发放的补贴资金分类明细表</w:t>
      </w:r>
    </w:p>
    <w:tbl>
      <w:tblPr>
        <w:tblStyle w:val="47"/>
        <w:tblW w:w="4929"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40"/>
        <w:gridCol w:w="5952"/>
        <w:gridCol w:w="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4991" w:type="pct"/>
            <w:gridSpan w:val="2"/>
            <w:vAlign w:val="center"/>
          </w:tcPr>
          <w:p>
            <w:pPr>
              <w:jc w:val="center"/>
              <w:rPr>
                <w:b/>
              </w:rPr>
            </w:pPr>
            <w:r>
              <w:rPr>
                <w:b/>
              </w:rPr>
              <w:t>资金类别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restart"/>
            <w:vAlign w:val="center"/>
          </w:tcPr>
          <w:p>
            <w:pPr>
              <w:jc w:val="center"/>
            </w:pPr>
            <w:r>
              <w:t>低保人员</w:t>
            </w:r>
          </w:p>
        </w:tc>
        <w:tc>
          <w:tcPr>
            <w:tcW w:w="3539" w:type="pct"/>
            <w:vAlign w:val="center"/>
          </w:tcPr>
          <w:p>
            <w:r>
              <w:t>最低生活保障金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continue"/>
            <w:vAlign w:val="center"/>
          </w:tcPr>
          <w:p>
            <w:pPr>
              <w:jc w:val="center"/>
            </w:pPr>
          </w:p>
        </w:tc>
        <w:tc>
          <w:tcPr>
            <w:tcW w:w="3539" w:type="pct"/>
            <w:vAlign w:val="center"/>
          </w:tcPr>
          <w:p>
            <w:r>
              <w:t>低保对象参加社会基本养老保险个人缴费补助资金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continue"/>
            <w:vAlign w:val="center"/>
          </w:tcPr>
          <w:p>
            <w:pPr>
              <w:jc w:val="center"/>
            </w:pPr>
          </w:p>
        </w:tc>
        <w:tc>
          <w:tcPr>
            <w:tcW w:w="3539" w:type="pct"/>
            <w:vAlign w:val="center"/>
          </w:tcPr>
          <w:p>
            <w:r>
              <w:t>低保价格临时补贴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continue"/>
            <w:vAlign w:val="center"/>
          </w:tcPr>
          <w:p>
            <w:pPr>
              <w:jc w:val="center"/>
            </w:pPr>
          </w:p>
        </w:tc>
        <w:tc>
          <w:tcPr>
            <w:tcW w:w="3539" w:type="pct"/>
            <w:vAlign w:val="center"/>
          </w:tcPr>
          <w:p>
            <w:r>
              <w:t>低保元旦春节价格补贴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continue"/>
            <w:vAlign w:val="center"/>
          </w:tcPr>
          <w:p>
            <w:pPr>
              <w:jc w:val="center"/>
            </w:pPr>
          </w:p>
        </w:tc>
        <w:tc>
          <w:tcPr>
            <w:tcW w:w="3539" w:type="pct"/>
            <w:vAlign w:val="center"/>
          </w:tcPr>
          <w:p>
            <w:r>
              <w:t>困难群众一次性生活补贴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restart"/>
            <w:vAlign w:val="center"/>
          </w:tcPr>
          <w:p>
            <w:pPr>
              <w:jc w:val="center"/>
            </w:pPr>
            <w:r>
              <w:t>特困</w:t>
            </w:r>
          </w:p>
        </w:tc>
        <w:tc>
          <w:tcPr>
            <w:tcW w:w="3539" w:type="pct"/>
            <w:vAlign w:val="center"/>
          </w:tcPr>
          <w:p>
            <w:r>
              <w:t>分散特困供养金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continue"/>
            <w:vAlign w:val="center"/>
          </w:tcPr>
          <w:p>
            <w:pPr>
              <w:jc w:val="center"/>
            </w:pPr>
          </w:p>
        </w:tc>
        <w:tc>
          <w:tcPr>
            <w:tcW w:w="3539" w:type="pct"/>
            <w:vAlign w:val="center"/>
          </w:tcPr>
          <w:p>
            <w:r>
              <w:t>集中特困供养金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continue"/>
            <w:vAlign w:val="center"/>
          </w:tcPr>
          <w:p>
            <w:pPr>
              <w:jc w:val="center"/>
            </w:pPr>
          </w:p>
        </w:tc>
        <w:tc>
          <w:tcPr>
            <w:tcW w:w="3539" w:type="pct"/>
            <w:vAlign w:val="center"/>
          </w:tcPr>
          <w:p>
            <w:r>
              <w:t>分散特困供养人员护理补贴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continue"/>
            <w:vAlign w:val="center"/>
          </w:tcPr>
          <w:p>
            <w:pPr>
              <w:jc w:val="center"/>
            </w:pPr>
          </w:p>
        </w:tc>
        <w:tc>
          <w:tcPr>
            <w:tcW w:w="3539" w:type="pct"/>
            <w:vAlign w:val="center"/>
          </w:tcPr>
          <w:p>
            <w:r>
              <w:t>集中特困供养人员护理补贴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continue"/>
            <w:vAlign w:val="center"/>
          </w:tcPr>
          <w:p>
            <w:pPr>
              <w:jc w:val="center"/>
            </w:pPr>
          </w:p>
        </w:tc>
        <w:tc>
          <w:tcPr>
            <w:tcW w:w="3539" w:type="pct"/>
            <w:vAlign w:val="center"/>
          </w:tcPr>
          <w:p>
            <w:r>
              <w:t>特困价格临时补贴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continue"/>
            <w:vAlign w:val="center"/>
          </w:tcPr>
          <w:p>
            <w:pPr>
              <w:jc w:val="center"/>
            </w:pPr>
          </w:p>
        </w:tc>
        <w:tc>
          <w:tcPr>
            <w:tcW w:w="3539" w:type="pct"/>
            <w:vAlign w:val="center"/>
          </w:tcPr>
          <w:p>
            <w:r>
              <w:t>特困元旦春节价格补贴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continue"/>
            <w:vAlign w:val="center"/>
          </w:tcPr>
          <w:p>
            <w:pPr>
              <w:jc w:val="center"/>
            </w:pPr>
          </w:p>
        </w:tc>
        <w:tc>
          <w:tcPr>
            <w:tcW w:w="3539" w:type="pct"/>
            <w:vAlign w:val="center"/>
          </w:tcPr>
          <w:p>
            <w:r>
              <w:t>困难群众一次性生活补贴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Align w:val="center"/>
          </w:tcPr>
          <w:p>
            <w:pPr>
              <w:jc w:val="center"/>
            </w:pPr>
            <w:r>
              <w:t>低保边缘</w:t>
            </w:r>
          </w:p>
        </w:tc>
        <w:tc>
          <w:tcPr>
            <w:tcW w:w="3539" w:type="pct"/>
            <w:vAlign w:val="center"/>
          </w:tcPr>
          <w:p>
            <w:r>
              <w:t>低保边缘价格临时补贴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Align w:val="center"/>
          </w:tcPr>
          <w:p>
            <w:pPr>
              <w:jc w:val="center"/>
            </w:pPr>
            <w:r>
              <w:t>临时救助</w:t>
            </w:r>
          </w:p>
        </w:tc>
        <w:tc>
          <w:tcPr>
            <w:tcW w:w="3539" w:type="pct"/>
            <w:vAlign w:val="center"/>
          </w:tcPr>
          <w:p>
            <w:r>
              <w:t>困难家庭临时救助经费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restart"/>
            <w:vAlign w:val="center"/>
          </w:tcPr>
          <w:p>
            <w:pPr>
              <w:jc w:val="center"/>
            </w:pPr>
            <w:r>
              <w:t>高龄</w:t>
            </w:r>
          </w:p>
        </w:tc>
        <w:tc>
          <w:tcPr>
            <w:tcW w:w="3539" w:type="pct"/>
            <w:vAlign w:val="center"/>
          </w:tcPr>
          <w:p>
            <w:r>
              <w:t>70周岁以上高龄老人生活津贴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pct"/>
        </w:trPr>
        <w:tc>
          <w:tcPr>
            <w:tcW w:w="1451" w:type="pct"/>
            <w:vMerge w:val="continue"/>
            <w:vAlign w:val="center"/>
          </w:tcPr>
          <w:p/>
        </w:tc>
        <w:tc>
          <w:tcPr>
            <w:tcW w:w="3539" w:type="pct"/>
            <w:vAlign w:val="center"/>
          </w:tcPr>
          <w:p>
            <w:r>
              <w:t>百岁老人春节慰问金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restart"/>
            <w:vAlign w:val="center"/>
          </w:tcPr>
          <w:p>
            <w:pPr>
              <w:jc w:val="center"/>
            </w:pPr>
            <w:r>
              <w:t>孤儿</w:t>
            </w:r>
          </w:p>
        </w:tc>
        <w:tc>
          <w:tcPr>
            <w:tcW w:w="3550" w:type="pct"/>
            <w:gridSpan w:val="2"/>
            <w:vAlign w:val="center"/>
          </w:tcPr>
          <w:p>
            <w:r>
              <w:t>弃婴（孤儿）基本生活保障专项</w:t>
            </w:r>
            <w:r>
              <w:rPr>
                <w:rFonts w:hint="eastAsia"/>
              </w:rPr>
              <w:t>资金</w:t>
            </w:r>
            <w:r>
              <w:t>-孤儿基本生活保障金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continue"/>
            <w:vAlign w:val="center"/>
          </w:tcPr>
          <w:p>
            <w:pPr>
              <w:jc w:val="center"/>
            </w:pPr>
          </w:p>
        </w:tc>
        <w:tc>
          <w:tcPr>
            <w:tcW w:w="3550" w:type="pct"/>
            <w:gridSpan w:val="2"/>
            <w:vAlign w:val="center"/>
          </w:tcPr>
          <w:p>
            <w:r>
              <w:t>孤儿价格临时补贴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continue"/>
            <w:vAlign w:val="center"/>
          </w:tcPr>
          <w:p>
            <w:pPr>
              <w:jc w:val="center"/>
            </w:pPr>
          </w:p>
        </w:tc>
        <w:tc>
          <w:tcPr>
            <w:tcW w:w="3550" w:type="pct"/>
            <w:gridSpan w:val="2"/>
            <w:vAlign w:val="center"/>
          </w:tcPr>
          <w:p>
            <w:r>
              <w:t>成年孤儿生活保障金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continue"/>
            <w:vAlign w:val="center"/>
          </w:tcPr>
          <w:p>
            <w:pPr>
              <w:jc w:val="center"/>
            </w:pPr>
          </w:p>
        </w:tc>
        <w:tc>
          <w:tcPr>
            <w:tcW w:w="3550" w:type="pct"/>
            <w:gridSpan w:val="2"/>
            <w:vAlign w:val="center"/>
          </w:tcPr>
          <w:p>
            <w:r>
              <w:t>分散供养孤儿教育保障金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continue"/>
            <w:vAlign w:val="center"/>
          </w:tcPr>
          <w:p>
            <w:pPr>
              <w:jc w:val="center"/>
            </w:pPr>
          </w:p>
        </w:tc>
        <w:tc>
          <w:tcPr>
            <w:tcW w:w="3550" w:type="pct"/>
            <w:gridSpan w:val="2"/>
            <w:vAlign w:val="center"/>
          </w:tcPr>
          <w:p>
            <w:r>
              <w:t>民政对象慰问补助经费-分散供养孤儿六一儿童节慰问金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continue"/>
            <w:vAlign w:val="center"/>
          </w:tcPr>
          <w:p>
            <w:pPr>
              <w:jc w:val="center"/>
            </w:pPr>
          </w:p>
        </w:tc>
        <w:tc>
          <w:tcPr>
            <w:tcW w:w="3550" w:type="pct"/>
            <w:gridSpan w:val="2"/>
            <w:vAlign w:val="center"/>
          </w:tcPr>
          <w:p>
            <w:r>
              <w:t>“福彩圆梦”孤儿助学工程助学金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continue"/>
            <w:vAlign w:val="center"/>
          </w:tcPr>
          <w:p>
            <w:pPr>
              <w:jc w:val="center"/>
            </w:pPr>
          </w:p>
        </w:tc>
        <w:tc>
          <w:tcPr>
            <w:tcW w:w="3550" w:type="pct"/>
            <w:gridSpan w:val="2"/>
            <w:vAlign w:val="center"/>
          </w:tcPr>
          <w:p>
            <w:r>
              <w:t>孤儿元旦春节价格补贴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continue"/>
            <w:vAlign w:val="center"/>
          </w:tcPr>
          <w:p>
            <w:pPr>
              <w:jc w:val="center"/>
            </w:pPr>
          </w:p>
        </w:tc>
        <w:tc>
          <w:tcPr>
            <w:tcW w:w="3550" w:type="pct"/>
            <w:gridSpan w:val="2"/>
            <w:vAlign w:val="center"/>
          </w:tcPr>
          <w:p>
            <w:r>
              <w:t>困难群众一次性生活补贴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restart"/>
            <w:vAlign w:val="center"/>
          </w:tcPr>
          <w:p>
            <w:pPr>
              <w:jc w:val="center"/>
            </w:pPr>
            <w:r>
              <w:t>困境儿童</w:t>
            </w:r>
          </w:p>
        </w:tc>
        <w:tc>
          <w:tcPr>
            <w:tcW w:w="3550" w:type="pct"/>
            <w:gridSpan w:val="2"/>
            <w:vAlign w:val="center"/>
          </w:tcPr>
          <w:p>
            <w:r>
              <w:t>事实无人抚养儿童生活保障经费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continue"/>
            <w:vAlign w:val="center"/>
          </w:tcPr>
          <w:p>
            <w:pPr>
              <w:jc w:val="center"/>
            </w:pPr>
          </w:p>
        </w:tc>
        <w:tc>
          <w:tcPr>
            <w:tcW w:w="3550" w:type="pct"/>
            <w:gridSpan w:val="2"/>
            <w:vAlign w:val="center"/>
          </w:tcPr>
          <w:p>
            <w:r>
              <w:t>事实无人抚养儿童价格临时补贴(暂未纳入低保管理)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continue"/>
            <w:vAlign w:val="center"/>
          </w:tcPr>
          <w:p>
            <w:pPr>
              <w:jc w:val="center"/>
            </w:pPr>
          </w:p>
        </w:tc>
        <w:tc>
          <w:tcPr>
            <w:tcW w:w="3550" w:type="pct"/>
            <w:gridSpan w:val="2"/>
            <w:vAlign w:val="center"/>
          </w:tcPr>
          <w:p>
            <w:r>
              <w:t>困境儿童春节慰问金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continue"/>
            <w:vAlign w:val="center"/>
          </w:tcPr>
          <w:p>
            <w:pPr>
              <w:jc w:val="center"/>
            </w:pPr>
          </w:p>
        </w:tc>
        <w:tc>
          <w:tcPr>
            <w:tcW w:w="3550" w:type="pct"/>
            <w:gridSpan w:val="2"/>
            <w:vAlign w:val="center"/>
          </w:tcPr>
          <w:p>
            <w:r>
              <w:t>困难群众一次性生活补贴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Align w:val="center"/>
          </w:tcPr>
          <w:p>
            <w:pPr>
              <w:jc w:val="center"/>
            </w:pPr>
            <w:r>
              <w:t>残疾护理补贴</w:t>
            </w:r>
          </w:p>
        </w:tc>
        <w:tc>
          <w:tcPr>
            <w:tcW w:w="3550" w:type="pct"/>
            <w:gridSpan w:val="2"/>
            <w:vAlign w:val="center"/>
          </w:tcPr>
          <w:p>
            <w:r>
              <w:t>重度残疾人护理补贴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Align w:val="center"/>
          </w:tcPr>
          <w:p>
            <w:pPr>
              <w:jc w:val="center"/>
            </w:pPr>
            <w:r>
              <w:t>残疾生活补助</w:t>
            </w:r>
          </w:p>
        </w:tc>
        <w:tc>
          <w:tcPr>
            <w:tcW w:w="3550" w:type="pct"/>
            <w:gridSpan w:val="2"/>
            <w:vAlign w:val="center"/>
          </w:tcPr>
          <w:p>
            <w:r>
              <w:t>困难残疾人生活补贴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restart"/>
            <w:vAlign w:val="center"/>
          </w:tcPr>
          <w:p>
            <w:pPr>
              <w:jc w:val="center"/>
            </w:pPr>
            <w:r>
              <w:t>殡葬补贴</w:t>
            </w:r>
          </w:p>
        </w:tc>
        <w:tc>
          <w:tcPr>
            <w:tcW w:w="3550" w:type="pct"/>
            <w:gridSpan w:val="2"/>
            <w:vAlign w:val="center"/>
          </w:tcPr>
          <w:p>
            <w:r>
              <w:t>骨灰树葬海葬补贴费用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Merge w:val="continue"/>
            <w:vAlign w:val="center"/>
          </w:tcPr>
          <w:p>
            <w:pPr>
              <w:jc w:val="center"/>
            </w:pPr>
          </w:p>
        </w:tc>
        <w:tc>
          <w:tcPr>
            <w:tcW w:w="3550" w:type="pct"/>
            <w:gridSpan w:val="2"/>
            <w:vAlign w:val="center"/>
          </w:tcPr>
          <w:p>
            <w:r>
              <w:t>免除殡葬基本服务费用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Align w:val="center"/>
          </w:tcPr>
          <w:p>
            <w:pPr>
              <w:jc w:val="center"/>
            </w:pPr>
            <w:r>
              <w:t>社工</w:t>
            </w:r>
          </w:p>
        </w:tc>
        <w:tc>
          <w:tcPr>
            <w:tcW w:w="3550" w:type="pct"/>
            <w:gridSpan w:val="2"/>
            <w:vAlign w:val="center"/>
          </w:tcPr>
          <w:p>
            <w:r>
              <w:t>社工督导补贴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449" w:type="pct"/>
            <w:vAlign w:val="center"/>
          </w:tcPr>
          <w:p>
            <w:pPr>
              <w:jc w:val="center"/>
            </w:pPr>
            <w:r>
              <w:rPr>
                <w:rFonts w:hint="eastAsia"/>
              </w:rPr>
              <w:t>民生大莞家</w:t>
            </w:r>
          </w:p>
        </w:tc>
        <w:tc>
          <w:tcPr>
            <w:tcW w:w="3550" w:type="pct"/>
            <w:gridSpan w:val="2"/>
            <w:vAlign w:val="center"/>
          </w:tcPr>
          <w:p>
            <w:r>
              <w:rPr>
                <w:rFonts w:hint="eastAsia"/>
              </w:rPr>
              <w:t>民生微实事项目</w:t>
            </w:r>
          </w:p>
        </w:tc>
      </w:tr>
    </w:tbl>
    <w:p>
      <w:pPr>
        <w:wordWrap w:val="0"/>
        <w:spacing w:line="440" w:lineRule="exact"/>
        <w:jc w:val="left"/>
        <w:rPr>
          <w:bCs/>
          <w:sz w:val="24"/>
        </w:rPr>
      </w:pPr>
    </w:p>
    <w:p>
      <w:pPr>
        <w:pStyle w:val="2"/>
      </w:pPr>
      <w:r>
        <w:br w:type="page"/>
      </w:r>
    </w:p>
    <w:p>
      <w:pPr>
        <w:wordWrap w:val="0"/>
        <w:spacing w:line="440" w:lineRule="exact"/>
        <w:jc w:val="left"/>
        <w:rPr>
          <w:b/>
          <w:bCs/>
          <w:sz w:val="24"/>
        </w:rPr>
      </w:pPr>
      <w:r>
        <w:rPr>
          <w:b/>
          <w:bCs/>
          <w:sz w:val="24"/>
        </w:rPr>
        <w:t>附件</w:t>
      </w:r>
      <w:r>
        <w:rPr>
          <w:rFonts w:hint="eastAsia"/>
          <w:b/>
          <w:bCs/>
          <w:sz w:val="24"/>
        </w:rPr>
        <w:t>2</w:t>
      </w:r>
      <w:r>
        <w:rPr>
          <w:b/>
          <w:bCs/>
          <w:sz w:val="24"/>
        </w:rPr>
        <w:t>：平台服务考核评分标准</w:t>
      </w:r>
    </w:p>
    <w:tbl>
      <w:tblPr>
        <w:tblStyle w:val="47"/>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615"/>
        <w:gridCol w:w="615"/>
        <w:gridCol w:w="920"/>
        <w:gridCol w:w="5583"/>
        <w:gridCol w:w="79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blHeader/>
        </w:trPr>
        <w:tc>
          <w:tcPr>
            <w:tcW w:w="0" w:type="auto"/>
            <w:gridSpan w:val="2"/>
            <w:vAlign w:val="center"/>
          </w:tcPr>
          <w:p>
            <w:pPr>
              <w:widowControl/>
              <w:jc w:val="center"/>
              <w:textAlignment w:val="center"/>
              <w:rPr>
                <w:rFonts w:asciiTheme="minorEastAsia" w:hAnsiTheme="minorEastAsia" w:eastAsiaTheme="minorEastAsia"/>
                <w:b/>
                <w:bCs/>
                <w:szCs w:val="21"/>
              </w:rPr>
            </w:pPr>
            <w:r>
              <w:rPr>
                <w:rFonts w:asciiTheme="minorEastAsia" w:hAnsiTheme="minorEastAsia" w:eastAsiaTheme="minorEastAsia"/>
                <w:b/>
                <w:bCs/>
                <w:kern w:val="0"/>
                <w:szCs w:val="21"/>
                <w:lang w:bidi="ar"/>
              </w:rPr>
              <w:t>考评内容</w:t>
            </w:r>
          </w:p>
        </w:tc>
        <w:tc>
          <w:tcPr>
            <w:tcW w:w="0" w:type="auto"/>
            <w:vAlign w:val="center"/>
          </w:tcPr>
          <w:p>
            <w:pPr>
              <w:widowControl/>
              <w:jc w:val="center"/>
              <w:textAlignment w:val="center"/>
              <w:rPr>
                <w:rFonts w:asciiTheme="minorEastAsia" w:hAnsiTheme="minorEastAsia" w:eastAsiaTheme="minorEastAsia"/>
                <w:b/>
                <w:bCs/>
                <w:szCs w:val="21"/>
              </w:rPr>
            </w:pPr>
            <w:r>
              <w:rPr>
                <w:rFonts w:asciiTheme="minorEastAsia" w:hAnsiTheme="minorEastAsia" w:eastAsiaTheme="minorEastAsia"/>
                <w:b/>
                <w:bCs/>
                <w:kern w:val="0"/>
                <w:szCs w:val="21"/>
                <w:lang w:bidi="ar"/>
              </w:rPr>
              <w:t>考核要点</w:t>
            </w:r>
          </w:p>
        </w:tc>
        <w:tc>
          <w:tcPr>
            <w:tcW w:w="0" w:type="auto"/>
            <w:vAlign w:val="center"/>
          </w:tcPr>
          <w:p>
            <w:pPr>
              <w:widowControl/>
              <w:jc w:val="center"/>
              <w:textAlignment w:val="center"/>
              <w:rPr>
                <w:rFonts w:asciiTheme="minorEastAsia" w:hAnsiTheme="minorEastAsia" w:eastAsiaTheme="minorEastAsia"/>
                <w:b/>
                <w:bCs/>
                <w:szCs w:val="21"/>
              </w:rPr>
            </w:pPr>
            <w:r>
              <w:rPr>
                <w:rFonts w:asciiTheme="minorEastAsia" w:hAnsiTheme="minorEastAsia" w:eastAsiaTheme="minorEastAsia"/>
                <w:b/>
                <w:bCs/>
                <w:kern w:val="0"/>
                <w:szCs w:val="21"/>
                <w:lang w:bidi="ar"/>
              </w:rPr>
              <w:t>评分标准</w:t>
            </w:r>
          </w:p>
        </w:tc>
        <w:tc>
          <w:tcPr>
            <w:tcW w:w="0" w:type="auto"/>
            <w:vAlign w:val="center"/>
          </w:tcPr>
          <w:p>
            <w:pPr>
              <w:widowControl/>
              <w:jc w:val="center"/>
              <w:textAlignment w:val="center"/>
              <w:rPr>
                <w:rFonts w:asciiTheme="minorEastAsia" w:hAnsiTheme="minorEastAsia" w:eastAsiaTheme="minorEastAsia"/>
                <w:b/>
                <w:bCs/>
                <w:szCs w:val="21"/>
              </w:rPr>
            </w:pPr>
            <w:r>
              <w:rPr>
                <w:rFonts w:asciiTheme="minorEastAsia" w:hAnsiTheme="minorEastAsia" w:eastAsiaTheme="minorEastAsia"/>
                <w:b/>
                <w:bCs/>
                <w:kern w:val="0"/>
                <w:szCs w:val="21"/>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restart"/>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基本要求</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管理制度</w:t>
            </w:r>
          </w:p>
        </w:tc>
        <w:tc>
          <w:tcPr>
            <w:tcW w:w="0" w:type="auto"/>
            <w:vAlign w:val="center"/>
          </w:tcPr>
          <w:p>
            <w:pPr>
              <w:widowControl/>
              <w:jc w:val="center"/>
              <w:textAlignment w:val="center"/>
              <w:rPr>
                <w:rFonts w:asciiTheme="minorEastAsia" w:hAnsiTheme="minorEastAsia" w:eastAsiaTheme="minorEastAsia"/>
                <w:kern w:val="0"/>
                <w:szCs w:val="21"/>
                <w:lang w:bidi="ar"/>
              </w:rPr>
            </w:pPr>
            <w:r>
              <w:rPr>
                <w:rFonts w:asciiTheme="minorEastAsia" w:hAnsiTheme="minorEastAsia" w:eastAsiaTheme="minorEastAsia"/>
                <w:kern w:val="0"/>
                <w:szCs w:val="21"/>
                <w:lang w:bidi="ar"/>
              </w:rPr>
              <w:t>规范管理</w:t>
            </w:r>
          </w:p>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制度流程</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制定相应的工作流程（无则扣</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分）、操作指引（无则扣</w:t>
            </w:r>
            <w:r>
              <w:rPr>
                <w:rFonts w:asciiTheme="minorEastAsia" w:hAnsiTheme="minorEastAsia" w:eastAsiaTheme="minorEastAsia"/>
                <w:kern w:val="0"/>
                <w:szCs w:val="21"/>
                <w:lang w:bidi="ar"/>
              </w:rPr>
              <w:t>2</w:t>
            </w:r>
            <w:r>
              <w:rPr>
                <w:rStyle w:val="123"/>
                <w:rFonts w:hint="default" w:asciiTheme="minorEastAsia" w:hAnsiTheme="minorEastAsia" w:eastAsiaTheme="minorEastAsia"/>
                <w:color w:val="auto"/>
                <w:sz w:val="21"/>
                <w:szCs w:val="21"/>
                <w:lang w:bidi="ar"/>
              </w:rPr>
              <w:t>分），定岗定责明确岗位工作内容（无则扣</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分）、制定人员出勤考核制度（无则扣</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分），协助市民政局相关业务科室督促镇街（园区）完成资金安全发放、预警处理及各项自查、整改工作。</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continue"/>
            <w:vAlign w:val="center"/>
          </w:tcPr>
          <w:p>
            <w:pPr>
              <w:jc w:val="center"/>
              <w:rPr>
                <w:rFonts w:asciiTheme="minorEastAsia" w:hAnsiTheme="minorEastAsia" w:eastAsiaTheme="minorEastAsia"/>
                <w:szCs w:val="21"/>
              </w:rPr>
            </w:pP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出勤管理</w:t>
            </w:r>
          </w:p>
        </w:tc>
        <w:tc>
          <w:tcPr>
            <w:tcW w:w="0" w:type="auto"/>
            <w:vAlign w:val="center"/>
          </w:tcPr>
          <w:p>
            <w:pPr>
              <w:widowControl/>
              <w:jc w:val="center"/>
              <w:textAlignment w:val="center"/>
              <w:rPr>
                <w:rFonts w:asciiTheme="minorEastAsia" w:hAnsiTheme="minorEastAsia" w:eastAsiaTheme="minorEastAsia"/>
                <w:kern w:val="0"/>
                <w:szCs w:val="21"/>
                <w:lang w:bidi="ar"/>
              </w:rPr>
            </w:pPr>
            <w:r>
              <w:rPr>
                <w:rFonts w:asciiTheme="minorEastAsia" w:hAnsiTheme="minorEastAsia" w:eastAsiaTheme="minorEastAsia"/>
                <w:kern w:val="0"/>
                <w:szCs w:val="21"/>
                <w:lang w:bidi="ar"/>
              </w:rPr>
              <w:t>人员出勤</w:t>
            </w:r>
          </w:p>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情况</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每月提供人员出勤记录，在法定工作日内，如有缺勤的情况，每人每天扣</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分，最高扣</w:t>
            </w: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continue"/>
            <w:vAlign w:val="center"/>
          </w:tcPr>
          <w:p>
            <w:pPr>
              <w:jc w:val="center"/>
              <w:rPr>
                <w:rFonts w:asciiTheme="minorEastAsia" w:hAnsiTheme="minorEastAsia" w:eastAsiaTheme="minorEastAsia"/>
                <w:szCs w:val="21"/>
              </w:rPr>
            </w:pPr>
          </w:p>
        </w:tc>
        <w:tc>
          <w:tcPr>
            <w:tcW w:w="0" w:type="auto"/>
            <w:vMerge w:val="restart"/>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系统保障</w:t>
            </w:r>
          </w:p>
        </w:tc>
        <w:tc>
          <w:tcPr>
            <w:tcW w:w="0" w:type="auto"/>
            <w:vMerge w:val="restart"/>
            <w:vAlign w:val="center"/>
          </w:tcPr>
          <w:p>
            <w:pPr>
              <w:widowControl/>
              <w:jc w:val="center"/>
              <w:textAlignment w:val="center"/>
              <w:rPr>
                <w:rFonts w:asciiTheme="minorEastAsia" w:hAnsiTheme="minorEastAsia" w:eastAsiaTheme="minorEastAsia"/>
                <w:kern w:val="0"/>
                <w:szCs w:val="21"/>
                <w:lang w:bidi="ar"/>
              </w:rPr>
            </w:pPr>
            <w:r>
              <w:rPr>
                <w:rFonts w:asciiTheme="minorEastAsia" w:hAnsiTheme="minorEastAsia" w:eastAsiaTheme="minorEastAsia"/>
                <w:kern w:val="0"/>
                <w:szCs w:val="21"/>
                <w:lang w:bidi="ar"/>
              </w:rPr>
              <w:t>维护响应</w:t>
            </w:r>
          </w:p>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问题时效</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每月访问事故（人为疏忽或平台、服务器故障未及时处理所引起的故障），平台访问中断</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小时（平台、服务器升级除外）或以上的，每次扣</w:t>
            </w:r>
            <w:r>
              <w:rPr>
                <w:rFonts w:asciiTheme="minorEastAsia" w:hAnsiTheme="minorEastAsia" w:eastAsiaTheme="minorEastAsia"/>
                <w:kern w:val="0"/>
                <w:szCs w:val="21"/>
                <w:lang w:bidi="ar"/>
              </w:rPr>
              <w:t>0.5</w:t>
            </w:r>
            <w:r>
              <w:rPr>
                <w:rStyle w:val="123"/>
                <w:rFonts w:hint="default" w:asciiTheme="minorEastAsia" w:hAnsiTheme="minorEastAsia" w:eastAsiaTheme="minorEastAsia"/>
                <w:color w:val="auto"/>
                <w:sz w:val="21"/>
                <w:szCs w:val="21"/>
                <w:lang w:bidi="ar"/>
              </w:rPr>
              <w:t>分；平台访问中断</w:t>
            </w:r>
            <w:r>
              <w:rPr>
                <w:rFonts w:asciiTheme="minorEastAsia" w:hAnsiTheme="minorEastAsia" w:eastAsiaTheme="minorEastAsia"/>
                <w:kern w:val="0"/>
                <w:szCs w:val="21"/>
                <w:lang w:bidi="ar"/>
              </w:rPr>
              <w:t>4</w:t>
            </w:r>
            <w:r>
              <w:rPr>
                <w:rStyle w:val="123"/>
                <w:rFonts w:hint="default" w:asciiTheme="minorEastAsia" w:hAnsiTheme="minorEastAsia" w:eastAsiaTheme="minorEastAsia"/>
                <w:color w:val="auto"/>
                <w:sz w:val="21"/>
                <w:szCs w:val="21"/>
                <w:lang w:bidi="ar"/>
              </w:rPr>
              <w:t>小时（平台、服务器升级除外）或以上的，每次扣</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分；平台访问中断</w:t>
            </w:r>
            <w:r>
              <w:rPr>
                <w:rFonts w:asciiTheme="minorEastAsia" w:hAnsiTheme="minorEastAsia" w:eastAsiaTheme="minorEastAsia"/>
                <w:kern w:val="0"/>
                <w:szCs w:val="21"/>
                <w:lang w:bidi="ar"/>
              </w:rPr>
              <w:t>8</w:t>
            </w:r>
            <w:r>
              <w:rPr>
                <w:rStyle w:val="123"/>
                <w:rFonts w:hint="default" w:asciiTheme="minorEastAsia" w:hAnsiTheme="minorEastAsia" w:eastAsiaTheme="minorEastAsia"/>
                <w:color w:val="auto"/>
                <w:sz w:val="21"/>
                <w:szCs w:val="21"/>
                <w:lang w:bidi="ar"/>
              </w:rPr>
              <w:t>小时（平台、服务器升级除外）或以上的，扣</w:t>
            </w: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continue"/>
            <w:vAlign w:val="center"/>
          </w:tcPr>
          <w:p>
            <w:pPr>
              <w:jc w:val="center"/>
              <w:rPr>
                <w:rFonts w:asciiTheme="minorEastAsia" w:hAnsiTheme="minorEastAsia" w:eastAsiaTheme="minorEastAsia"/>
                <w:szCs w:val="21"/>
              </w:rPr>
            </w:pPr>
          </w:p>
        </w:tc>
        <w:tc>
          <w:tcPr>
            <w:tcW w:w="0" w:type="auto"/>
            <w:vMerge w:val="continue"/>
            <w:vAlign w:val="center"/>
          </w:tcPr>
          <w:p>
            <w:pPr>
              <w:jc w:val="center"/>
              <w:rPr>
                <w:rFonts w:asciiTheme="minorEastAsia" w:hAnsiTheme="minorEastAsia" w:eastAsiaTheme="minorEastAsia"/>
                <w:szCs w:val="21"/>
              </w:rPr>
            </w:pPr>
          </w:p>
        </w:tc>
        <w:tc>
          <w:tcPr>
            <w:tcW w:w="0" w:type="auto"/>
            <w:vMerge w:val="continue"/>
            <w:vAlign w:val="center"/>
          </w:tcPr>
          <w:p>
            <w:pPr>
              <w:jc w:val="center"/>
              <w:rPr>
                <w:rFonts w:asciiTheme="minorEastAsia" w:hAnsiTheme="minorEastAsia" w:eastAsiaTheme="minorEastAsia"/>
                <w:szCs w:val="21"/>
              </w:rPr>
            </w:pP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每月应急突发事件发生（受攻击或政务云服务器损坏），因平台原因未能及时处理，按延迟天数扣分，</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w:t>
            </w:r>
            <w:r>
              <w:rPr>
                <w:rFonts w:asciiTheme="minorEastAsia" w:hAnsiTheme="minorEastAsia" w:eastAsiaTheme="minorEastAsia"/>
                <w:kern w:val="0"/>
                <w:szCs w:val="21"/>
                <w:lang w:bidi="ar"/>
              </w:rPr>
              <w:t>/</w:t>
            </w:r>
            <w:r>
              <w:rPr>
                <w:rStyle w:val="123"/>
                <w:rFonts w:hint="default" w:asciiTheme="minorEastAsia" w:hAnsiTheme="minorEastAsia" w:eastAsiaTheme="minorEastAsia"/>
                <w:color w:val="auto"/>
                <w:sz w:val="21"/>
                <w:szCs w:val="21"/>
                <w:lang w:bidi="ar"/>
              </w:rPr>
              <w:t>天，最多扣</w:t>
            </w: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continue"/>
            <w:vAlign w:val="center"/>
          </w:tcPr>
          <w:p>
            <w:pPr>
              <w:jc w:val="center"/>
              <w:rPr>
                <w:rFonts w:asciiTheme="minorEastAsia" w:hAnsiTheme="minorEastAsia" w:eastAsiaTheme="minorEastAsia"/>
                <w:szCs w:val="21"/>
              </w:rPr>
            </w:pP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客服保障</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客服响应</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每月针对镇街（园区）系统的操作问题、平台相关政策难点咨询解答的需要保证响应时效性，每发生超过</w:t>
            </w:r>
            <w:r>
              <w:rPr>
                <w:rFonts w:asciiTheme="minorEastAsia" w:hAnsiTheme="minorEastAsia" w:eastAsiaTheme="minorEastAsia"/>
                <w:kern w:val="0"/>
                <w:szCs w:val="21"/>
                <w:lang w:bidi="ar"/>
              </w:rPr>
              <w:t>2</w:t>
            </w:r>
            <w:r>
              <w:rPr>
                <w:rStyle w:val="123"/>
                <w:rFonts w:hint="default" w:asciiTheme="minorEastAsia" w:hAnsiTheme="minorEastAsia" w:eastAsiaTheme="minorEastAsia"/>
                <w:color w:val="auto"/>
                <w:sz w:val="21"/>
                <w:szCs w:val="21"/>
                <w:lang w:bidi="ar"/>
              </w:rPr>
              <w:t>小时未有效响应的情况扣</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分，最多扣</w:t>
            </w: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分（非工作时间除外）。</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restart"/>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服务目标达成</w:t>
            </w:r>
          </w:p>
        </w:tc>
        <w:tc>
          <w:tcPr>
            <w:tcW w:w="0" w:type="auto"/>
            <w:vMerge w:val="restart"/>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业务运营维护</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数据共享处理</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每月通过省一网共享服务平台信息共享和其他数据交换机制，在接收到数据后的</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个工作日内完成平台同步处理。如人为延迟处理，一次扣</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分，超过三次扣</w:t>
            </w: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continue"/>
            <w:vAlign w:val="center"/>
          </w:tcPr>
          <w:p>
            <w:pPr>
              <w:jc w:val="center"/>
              <w:rPr>
                <w:rFonts w:asciiTheme="minorEastAsia" w:hAnsiTheme="minorEastAsia" w:eastAsiaTheme="minorEastAsia"/>
                <w:szCs w:val="21"/>
              </w:rPr>
            </w:pPr>
          </w:p>
        </w:tc>
        <w:tc>
          <w:tcPr>
            <w:tcW w:w="0" w:type="auto"/>
            <w:vMerge w:val="continue"/>
            <w:vAlign w:val="center"/>
          </w:tcPr>
          <w:p>
            <w:pPr>
              <w:jc w:val="center"/>
              <w:rPr>
                <w:rFonts w:asciiTheme="minorEastAsia" w:hAnsiTheme="minorEastAsia" w:eastAsiaTheme="minorEastAsia"/>
                <w:szCs w:val="21"/>
              </w:rPr>
            </w:pP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实名比对</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每月对纳入平台各类民政对象进行实名稽核服务，如有错误，及时通知各镇街（园区）核实身份证原件督办并修正（生僻字另行单独记录）；发现差异未进行通知提醒，一次扣</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分，超过三次扣</w:t>
            </w: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continue"/>
            <w:vAlign w:val="center"/>
          </w:tcPr>
          <w:p>
            <w:pPr>
              <w:jc w:val="center"/>
              <w:rPr>
                <w:rFonts w:asciiTheme="minorEastAsia" w:hAnsiTheme="minorEastAsia" w:eastAsiaTheme="minorEastAsia"/>
                <w:szCs w:val="21"/>
              </w:rPr>
            </w:pPr>
          </w:p>
        </w:tc>
        <w:tc>
          <w:tcPr>
            <w:tcW w:w="0" w:type="auto"/>
            <w:vMerge w:val="continue"/>
            <w:vAlign w:val="center"/>
          </w:tcPr>
          <w:p>
            <w:pPr>
              <w:jc w:val="center"/>
              <w:rPr>
                <w:rFonts w:asciiTheme="minorEastAsia" w:hAnsiTheme="minorEastAsia" w:eastAsiaTheme="minorEastAsia"/>
                <w:szCs w:val="21"/>
              </w:rPr>
            </w:pP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银行账号比对</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每月对纳入平台各类民政对象进行银行账号稽核服务（数据源范畴：东莞银行、东莞农商银行、广东省一网共享服务平台），如有错误，及时通知各镇街（园区）核实督办并修正；发现差异未进行通知提醒，一次扣</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分，超过三次扣</w:t>
            </w: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continue"/>
            <w:vAlign w:val="center"/>
          </w:tcPr>
          <w:p>
            <w:pPr>
              <w:jc w:val="center"/>
              <w:rPr>
                <w:rFonts w:asciiTheme="minorEastAsia" w:hAnsiTheme="minorEastAsia" w:eastAsiaTheme="minorEastAsia"/>
                <w:szCs w:val="21"/>
              </w:rPr>
            </w:pPr>
          </w:p>
        </w:tc>
        <w:tc>
          <w:tcPr>
            <w:tcW w:w="0" w:type="auto"/>
            <w:vMerge w:val="continue"/>
            <w:vAlign w:val="center"/>
          </w:tcPr>
          <w:p>
            <w:pPr>
              <w:jc w:val="center"/>
              <w:rPr>
                <w:rFonts w:asciiTheme="minorEastAsia" w:hAnsiTheme="minorEastAsia" w:eastAsiaTheme="minorEastAsia"/>
                <w:szCs w:val="21"/>
              </w:rPr>
            </w:pP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死亡比对</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每月对纳入平台各类民政对象进行死亡比对预警服务，如有预警，及时通知各镇街（园区）核实、及时进行相关待遇的业务处置。发现差异未进行通知提醒镇街（园区）的，一次扣</w:t>
            </w:r>
            <w:r>
              <w:rPr>
                <w:rFonts w:asciiTheme="minorEastAsia" w:hAnsiTheme="minorEastAsia" w:eastAsiaTheme="minorEastAsia"/>
                <w:kern w:val="0"/>
                <w:szCs w:val="21"/>
                <w:lang w:bidi="ar"/>
              </w:rPr>
              <w:t>2</w:t>
            </w:r>
            <w:r>
              <w:rPr>
                <w:rStyle w:val="123"/>
                <w:rFonts w:hint="default" w:asciiTheme="minorEastAsia" w:hAnsiTheme="minorEastAsia" w:eastAsiaTheme="minorEastAsia"/>
                <w:color w:val="auto"/>
                <w:sz w:val="21"/>
                <w:szCs w:val="21"/>
                <w:lang w:bidi="ar"/>
              </w:rPr>
              <w:t>分，超过三次扣</w:t>
            </w:r>
            <w:r>
              <w:rPr>
                <w:rFonts w:asciiTheme="minorEastAsia" w:hAnsiTheme="minorEastAsia" w:eastAsiaTheme="minorEastAsia"/>
                <w:kern w:val="0"/>
                <w:szCs w:val="21"/>
                <w:lang w:bidi="ar"/>
              </w:rPr>
              <w:t>10</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10</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continue"/>
            <w:vAlign w:val="center"/>
          </w:tcPr>
          <w:p>
            <w:pPr>
              <w:jc w:val="center"/>
              <w:rPr>
                <w:rFonts w:asciiTheme="minorEastAsia" w:hAnsiTheme="minorEastAsia" w:eastAsiaTheme="minorEastAsia"/>
                <w:szCs w:val="21"/>
              </w:rPr>
            </w:pPr>
          </w:p>
        </w:tc>
        <w:tc>
          <w:tcPr>
            <w:tcW w:w="0" w:type="auto"/>
            <w:vMerge w:val="continue"/>
            <w:vAlign w:val="center"/>
          </w:tcPr>
          <w:p>
            <w:pPr>
              <w:jc w:val="center"/>
              <w:rPr>
                <w:rFonts w:asciiTheme="minorEastAsia" w:hAnsiTheme="minorEastAsia" w:eastAsiaTheme="minorEastAsia"/>
                <w:szCs w:val="21"/>
              </w:rPr>
            </w:pP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多重身份重复享受待遇人员比对</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每月对纳入平台各类民政对象</w:t>
            </w:r>
            <w:r>
              <w:rPr>
                <w:rStyle w:val="123"/>
                <w:rFonts w:asciiTheme="minorEastAsia" w:hAnsiTheme="minorEastAsia" w:eastAsiaTheme="minorEastAsia"/>
                <w:color w:val="auto"/>
                <w:sz w:val="21"/>
                <w:szCs w:val="21"/>
                <w:lang w:bidi="ar"/>
              </w:rPr>
              <w:t>进行</w:t>
            </w:r>
            <w:r>
              <w:rPr>
                <w:rStyle w:val="123"/>
                <w:rFonts w:hint="default" w:asciiTheme="minorEastAsia" w:hAnsiTheme="minorEastAsia" w:eastAsiaTheme="minorEastAsia"/>
                <w:color w:val="auto"/>
                <w:sz w:val="21"/>
                <w:szCs w:val="21"/>
                <w:lang w:bidi="ar"/>
              </w:rPr>
              <w:t>多重身份重复享受比对，发现的问题及时通知各镇街（园区）核实、及时进行相关待遇的处置。发现差异未进行通知提醒镇街（园区）的，一次扣</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分，超过三次扣</w:t>
            </w: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restart"/>
            <w:vAlign w:val="center"/>
          </w:tcPr>
          <w:p>
            <w:pPr>
              <w:jc w:val="center"/>
              <w:rPr>
                <w:rFonts w:asciiTheme="minorEastAsia" w:hAnsiTheme="minorEastAsia" w:eastAsiaTheme="minorEastAsia"/>
                <w:szCs w:val="21"/>
              </w:rPr>
            </w:pPr>
            <w:r>
              <w:rPr>
                <w:rFonts w:asciiTheme="minorEastAsia" w:hAnsiTheme="minorEastAsia" w:eastAsiaTheme="minorEastAsia"/>
                <w:kern w:val="0"/>
                <w:szCs w:val="21"/>
                <w:lang w:bidi="ar"/>
              </w:rPr>
              <w:t>服务目标达成</w:t>
            </w:r>
          </w:p>
        </w:tc>
        <w:tc>
          <w:tcPr>
            <w:tcW w:w="0" w:type="auto"/>
            <w:vMerge w:val="restart"/>
            <w:vAlign w:val="center"/>
          </w:tcPr>
          <w:p>
            <w:pPr>
              <w:jc w:val="center"/>
              <w:rPr>
                <w:rFonts w:asciiTheme="minorEastAsia" w:hAnsiTheme="minorEastAsia" w:eastAsiaTheme="minorEastAsia"/>
                <w:szCs w:val="21"/>
              </w:rPr>
            </w:pPr>
            <w:r>
              <w:rPr>
                <w:rFonts w:asciiTheme="minorEastAsia" w:hAnsiTheme="minorEastAsia" w:eastAsiaTheme="minorEastAsia"/>
                <w:kern w:val="0"/>
                <w:szCs w:val="21"/>
                <w:lang w:bidi="ar"/>
              </w:rPr>
              <w:t>业务运营维护</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各类民政对象调标</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每月根据业务部门需求，配合对纳入平台各类民政对象按照最新的政策文件，调整相关业务参数，计算调标应发、补发核对工作。对于调标过程中出现错误，未能准确预警业务信息准确性，扣</w:t>
            </w: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continue"/>
            <w:vAlign w:val="center"/>
          </w:tcPr>
          <w:p>
            <w:pPr>
              <w:jc w:val="center"/>
              <w:rPr>
                <w:rFonts w:asciiTheme="minorEastAsia" w:hAnsiTheme="minorEastAsia" w:eastAsiaTheme="minorEastAsia"/>
                <w:szCs w:val="21"/>
              </w:rPr>
            </w:pPr>
          </w:p>
        </w:tc>
        <w:tc>
          <w:tcPr>
            <w:tcW w:w="0" w:type="auto"/>
            <w:vMerge w:val="continue"/>
            <w:vAlign w:val="center"/>
          </w:tcPr>
          <w:p>
            <w:pPr>
              <w:jc w:val="center"/>
              <w:rPr>
                <w:rFonts w:asciiTheme="minorEastAsia" w:hAnsiTheme="minorEastAsia" w:eastAsiaTheme="minorEastAsia"/>
                <w:szCs w:val="21"/>
              </w:rPr>
            </w:pP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社保卡切换比对</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每月根据人社局反馈的社保卡信息，持续对低保、分散特困、低保边缘、事实无人抚养儿童、社会散居孤儿、残疾人两项补贴和高龄等各个类别的对象收款账户进行核对。因平台原因未及时反馈问题，出现迟报、漏报、瞒报现象，一次扣</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分，超过三次扣</w:t>
            </w: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continue"/>
            <w:vAlign w:val="center"/>
          </w:tcPr>
          <w:p>
            <w:pPr>
              <w:jc w:val="center"/>
              <w:rPr>
                <w:rFonts w:asciiTheme="minorEastAsia" w:hAnsiTheme="minorEastAsia" w:eastAsiaTheme="minorEastAsia"/>
                <w:szCs w:val="21"/>
              </w:rPr>
            </w:pP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定期报告</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服务报告时效性</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每月</w:t>
            </w:r>
            <w:r>
              <w:rPr>
                <w:rFonts w:asciiTheme="minorEastAsia" w:hAnsiTheme="minorEastAsia" w:eastAsiaTheme="minorEastAsia"/>
                <w:kern w:val="0"/>
                <w:szCs w:val="21"/>
                <w:lang w:bidi="ar"/>
              </w:rPr>
              <w:t>15</w:t>
            </w:r>
            <w:r>
              <w:rPr>
                <w:rStyle w:val="123"/>
                <w:rFonts w:hint="default" w:asciiTheme="minorEastAsia" w:hAnsiTheme="minorEastAsia" w:eastAsiaTheme="minorEastAsia"/>
                <w:color w:val="auto"/>
                <w:sz w:val="21"/>
                <w:szCs w:val="21"/>
                <w:lang w:bidi="ar"/>
              </w:rPr>
              <w:t>日前提供上个月度数据汇报表，参照本项目合同进行分析性陈述，出现延迟</w:t>
            </w:r>
            <w:r>
              <w:rPr>
                <w:rFonts w:asciiTheme="minorEastAsia" w:hAnsiTheme="minorEastAsia" w:eastAsiaTheme="minorEastAsia"/>
                <w:kern w:val="0"/>
                <w:szCs w:val="21"/>
                <w:lang w:bidi="ar"/>
              </w:rPr>
              <w:t>3</w:t>
            </w:r>
            <w:r>
              <w:rPr>
                <w:rStyle w:val="123"/>
                <w:rFonts w:hint="default" w:asciiTheme="minorEastAsia" w:hAnsiTheme="minorEastAsia" w:eastAsiaTheme="minorEastAsia"/>
                <w:color w:val="auto"/>
                <w:sz w:val="21"/>
                <w:szCs w:val="21"/>
                <w:lang w:bidi="ar"/>
              </w:rPr>
              <w:t>天输出报告的，一次扣</w:t>
            </w: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continue"/>
            <w:vAlign w:val="center"/>
          </w:tcPr>
          <w:p>
            <w:pPr>
              <w:jc w:val="center"/>
              <w:rPr>
                <w:rFonts w:asciiTheme="minorEastAsia" w:hAnsiTheme="minorEastAsia" w:eastAsiaTheme="minorEastAsia"/>
                <w:szCs w:val="21"/>
              </w:rPr>
            </w:pPr>
          </w:p>
        </w:tc>
        <w:tc>
          <w:tcPr>
            <w:tcW w:w="0" w:type="auto"/>
            <w:vMerge w:val="restart"/>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服务质量管控</w:t>
            </w:r>
          </w:p>
        </w:tc>
        <w:tc>
          <w:tcPr>
            <w:tcW w:w="0" w:type="auto"/>
            <w:vMerge w:val="restart"/>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服务数据跟踪统计</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每月督促协助镇街（园区）在平台中完善、补足各类（因业务特殊性）未通过平台发放的数据信息，并对数据完整性、实效性进行统计。如发现镇街（园区）有未完善的数据且当月平台没有汇总或漏报、瞒报，一次扣</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分，超过三次扣</w:t>
            </w: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continue"/>
            <w:vAlign w:val="center"/>
          </w:tcPr>
          <w:p>
            <w:pPr>
              <w:jc w:val="center"/>
              <w:rPr>
                <w:rFonts w:asciiTheme="minorEastAsia" w:hAnsiTheme="minorEastAsia" w:eastAsiaTheme="minorEastAsia"/>
                <w:szCs w:val="21"/>
              </w:rPr>
            </w:pPr>
          </w:p>
        </w:tc>
        <w:tc>
          <w:tcPr>
            <w:tcW w:w="0" w:type="auto"/>
            <w:vMerge w:val="continue"/>
            <w:vAlign w:val="center"/>
          </w:tcPr>
          <w:p>
            <w:pPr>
              <w:jc w:val="center"/>
              <w:rPr>
                <w:rFonts w:asciiTheme="minorEastAsia" w:hAnsiTheme="minorEastAsia" w:eastAsiaTheme="minorEastAsia"/>
                <w:szCs w:val="21"/>
              </w:rPr>
            </w:pPr>
          </w:p>
        </w:tc>
        <w:tc>
          <w:tcPr>
            <w:tcW w:w="0" w:type="auto"/>
            <w:vMerge w:val="continue"/>
            <w:vAlign w:val="center"/>
          </w:tcPr>
          <w:p>
            <w:pPr>
              <w:jc w:val="center"/>
              <w:rPr>
                <w:rFonts w:asciiTheme="minorEastAsia" w:hAnsiTheme="minorEastAsia" w:eastAsiaTheme="minorEastAsia"/>
                <w:szCs w:val="21"/>
              </w:rPr>
            </w:pP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协助镇街（园区）在次月</w:t>
            </w:r>
            <w:r>
              <w:rPr>
                <w:rFonts w:asciiTheme="minorEastAsia" w:hAnsiTheme="minorEastAsia" w:eastAsiaTheme="minorEastAsia"/>
                <w:kern w:val="0"/>
                <w:szCs w:val="21"/>
                <w:lang w:bidi="ar"/>
              </w:rPr>
              <w:t>15</w:t>
            </w:r>
            <w:r>
              <w:rPr>
                <w:rStyle w:val="123"/>
                <w:rFonts w:hint="default" w:asciiTheme="minorEastAsia" w:hAnsiTheme="minorEastAsia" w:eastAsiaTheme="minorEastAsia"/>
                <w:color w:val="auto"/>
                <w:sz w:val="21"/>
                <w:szCs w:val="21"/>
                <w:lang w:bidi="ar"/>
              </w:rPr>
              <w:t>日前，完成资金发放的银行回盘数据上传，并进行一致性的数据稽核。因平台原因出现稽核数据不完整或发现问题迟报、漏报、瞒报现象，一次扣</w:t>
            </w:r>
            <w:r>
              <w:rPr>
                <w:rFonts w:asciiTheme="minorEastAsia" w:hAnsiTheme="minorEastAsia" w:eastAsiaTheme="minorEastAsia"/>
                <w:kern w:val="0"/>
                <w:szCs w:val="21"/>
                <w:lang w:bidi="ar"/>
              </w:rPr>
              <w:t>1</w:t>
            </w:r>
            <w:r>
              <w:rPr>
                <w:rStyle w:val="123"/>
                <w:rFonts w:hint="default" w:asciiTheme="minorEastAsia" w:hAnsiTheme="minorEastAsia" w:eastAsiaTheme="minorEastAsia"/>
                <w:color w:val="auto"/>
                <w:sz w:val="21"/>
                <w:szCs w:val="21"/>
                <w:lang w:bidi="ar"/>
              </w:rPr>
              <w:t>分，超过三次扣</w:t>
            </w: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5</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restart"/>
            <w:vAlign w:val="center"/>
          </w:tcPr>
          <w:p>
            <w:pPr>
              <w:jc w:val="center"/>
              <w:rPr>
                <w:rFonts w:asciiTheme="minorEastAsia" w:hAnsiTheme="minorEastAsia" w:eastAsiaTheme="minorEastAsia"/>
                <w:szCs w:val="21"/>
              </w:rPr>
            </w:pPr>
            <w:r>
              <w:rPr>
                <w:rFonts w:asciiTheme="minorEastAsia" w:hAnsiTheme="minorEastAsia" w:eastAsiaTheme="minorEastAsia"/>
                <w:kern w:val="0"/>
                <w:szCs w:val="21"/>
                <w:lang w:bidi="ar"/>
              </w:rPr>
              <w:t>服务目标达成</w:t>
            </w:r>
          </w:p>
        </w:tc>
        <w:tc>
          <w:tcPr>
            <w:tcW w:w="0" w:type="auto"/>
            <w:vMerge w:val="restart"/>
            <w:vAlign w:val="center"/>
          </w:tcPr>
          <w:p>
            <w:pPr>
              <w:jc w:val="center"/>
              <w:rPr>
                <w:rFonts w:asciiTheme="minorEastAsia" w:hAnsiTheme="minorEastAsia" w:eastAsiaTheme="minorEastAsia"/>
                <w:szCs w:val="21"/>
              </w:rPr>
            </w:pPr>
            <w:r>
              <w:rPr>
                <w:rFonts w:asciiTheme="minorEastAsia" w:hAnsiTheme="minorEastAsia" w:eastAsiaTheme="minorEastAsia"/>
                <w:kern w:val="0"/>
                <w:szCs w:val="21"/>
                <w:lang w:bidi="ar"/>
              </w:rPr>
              <w:t>服务质量管控</w:t>
            </w:r>
          </w:p>
        </w:tc>
        <w:tc>
          <w:tcPr>
            <w:tcW w:w="0" w:type="auto"/>
            <w:vMerge w:val="restart"/>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服务数据监管统计</w:t>
            </w: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按照市民政局制定的相关业务资金发放时间节点（社救类每月</w:t>
            </w:r>
            <w:r>
              <w:rPr>
                <w:rFonts w:asciiTheme="minorEastAsia" w:hAnsiTheme="minorEastAsia" w:eastAsiaTheme="minorEastAsia"/>
                <w:kern w:val="0"/>
                <w:szCs w:val="21"/>
                <w:lang w:bidi="ar"/>
              </w:rPr>
              <w:t>15</w:t>
            </w:r>
            <w:r>
              <w:rPr>
                <w:rStyle w:val="123"/>
                <w:rFonts w:hint="default" w:asciiTheme="minorEastAsia" w:hAnsiTheme="minorEastAsia" w:eastAsiaTheme="minorEastAsia"/>
                <w:color w:val="auto"/>
                <w:sz w:val="21"/>
                <w:szCs w:val="21"/>
                <w:lang w:bidi="ar"/>
              </w:rPr>
              <w:t>日前，儿童类每月</w:t>
            </w:r>
            <w:r>
              <w:rPr>
                <w:rFonts w:asciiTheme="minorEastAsia" w:hAnsiTheme="minorEastAsia" w:eastAsiaTheme="minorEastAsia"/>
                <w:kern w:val="0"/>
                <w:szCs w:val="21"/>
                <w:lang w:bidi="ar"/>
              </w:rPr>
              <w:t>20</w:t>
            </w:r>
            <w:r>
              <w:rPr>
                <w:rStyle w:val="123"/>
                <w:rFonts w:hint="default" w:asciiTheme="minorEastAsia" w:hAnsiTheme="minorEastAsia" w:eastAsiaTheme="minorEastAsia"/>
                <w:color w:val="auto"/>
                <w:sz w:val="21"/>
                <w:szCs w:val="21"/>
                <w:lang w:bidi="ar"/>
              </w:rPr>
              <w:t>日前，残疾人两项补贴每月</w:t>
            </w:r>
            <w:r>
              <w:rPr>
                <w:rFonts w:asciiTheme="minorEastAsia" w:hAnsiTheme="minorEastAsia" w:eastAsiaTheme="minorEastAsia"/>
                <w:kern w:val="0"/>
                <w:szCs w:val="21"/>
                <w:lang w:bidi="ar"/>
              </w:rPr>
              <w:t>25</w:t>
            </w:r>
            <w:r>
              <w:rPr>
                <w:rStyle w:val="123"/>
                <w:rFonts w:hint="default" w:asciiTheme="minorEastAsia" w:hAnsiTheme="minorEastAsia" w:eastAsiaTheme="minorEastAsia"/>
                <w:color w:val="auto"/>
                <w:sz w:val="21"/>
                <w:szCs w:val="21"/>
                <w:lang w:bidi="ar"/>
              </w:rPr>
              <w:t>日前，高龄津贴每月15日前），督促镇街（园区）按时进行资金发放，因平台原因造成相关资金科目不能按时发放的，一次扣</w:t>
            </w:r>
            <w:r>
              <w:rPr>
                <w:rFonts w:asciiTheme="minorEastAsia" w:hAnsiTheme="minorEastAsia" w:eastAsiaTheme="minorEastAsia"/>
                <w:kern w:val="0"/>
                <w:szCs w:val="21"/>
                <w:lang w:bidi="ar"/>
              </w:rPr>
              <w:t>2</w:t>
            </w:r>
            <w:r>
              <w:rPr>
                <w:rStyle w:val="123"/>
                <w:rFonts w:hint="default" w:asciiTheme="minorEastAsia" w:hAnsiTheme="minorEastAsia" w:eastAsiaTheme="minorEastAsia"/>
                <w:color w:val="auto"/>
                <w:sz w:val="21"/>
                <w:szCs w:val="21"/>
                <w:lang w:bidi="ar"/>
              </w:rPr>
              <w:t>分，超过三次扣</w:t>
            </w:r>
            <w:r>
              <w:rPr>
                <w:rFonts w:asciiTheme="minorEastAsia" w:hAnsiTheme="minorEastAsia" w:eastAsiaTheme="minorEastAsia"/>
                <w:kern w:val="0"/>
                <w:szCs w:val="21"/>
                <w:lang w:bidi="ar"/>
              </w:rPr>
              <w:t>10</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10</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vMerge w:val="continue"/>
            <w:vAlign w:val="center"/>
          </w:tcPr>
          <w:p>
            <w:pPr>
              <w:jc w:val="center"/>
              <w:rPr>
                <w:rFonts w:asciiTheme="minorEastAsia" w:hAnsiTheme="minorEastAsia" w:eastAsiaTheme="minorEastAsia"/>
                <w:szCs w:val="21"/>
              </w:rPr>
            </w:pPr>
          </w:p>
        </w:tc>
        <w:tc>
          <w:tcPr>
            <w:tcW w:w="0" w:type="auto"/>
            <w:vMerge w:val="continue"/>
            <w:vAlign w:val="center"/>
          </w:tcPr>
          <w:p>
            <w:pPr>
              <w:jc w:val="center"/>
              <w:rPr>
                <w:rFonts w:asciiTheme="minorEastAsia" w:hAnsiTheme="minorEastAsia" w:eastAsiaTheme="minorEastAsia"/>
                <w:szCs w:val="21"/>
              </w:rPr>
            </w:pPr>
          </w:p>
        </w:tc>
        <w:tc>
          <w:tcPr>
            <w:tcW w:w="0" w:type="auto"/>
            <w:vMerge w:val="continue"/>
            <w:vAlign w:val="center"/>
          </w:tcPr>
          <w:p>
            <w:pPr>
              <w:jc w:val="center"/>
              <w:rPr>
                <w:rFonts w:asciiTheme="minorEastAsia" w:hAnsiTheme="minorEastAsia" w:eastAsiaTheme="minorEastAsia"/>
                <w:szCs w:val="21"/>
              </w:rPr>
            </w:pPr>
          </w:p>
        </w:tc>
        <w:tc>
          <w:tcPr>
            <w:tcW w:w="0" w:type="auto"/>
            <w:vAlign w:val="center"/>
          </w:tcPr>
          <w:p>
            <w:pPr>
              <w:widowControl/>
              <w:jc w:val="left"/>
              <w:textAlignment w:val="center"/>
              <w:rPr>
                <w:rFonts w:asciiTheme="minorEastAsia" w:hAnsiTheme="minorEastAsia" w:eastAsiaTheme="minorEastAsia"/>
                <w:szCs w:val="21"/>
              </w:rPr>
            </w:pPr>
            <w:r>
              <w:rPr>
                <w:rStyle w:val="123"/>
                <w:rFonts w:hint="default" w:asciiTheme="minorEastAsia" w:hAnsiTheme="minorEastAsia" w:eastAsiaTheme="minorEastAsia"/>
                <w:color w:val="auto"/>
                <w:sz w:val="21"/>
                <w:szCs w:val="21"/>
                <w:lang w:bidi="ar"/>
              </w:rPr>
              <w:t>根据当月通过平台发放资金类型统计，督促各镇街（园区）按时间节点发放，并将实际发放进展和可能出现的延误及时汇报给相应业务科室，未能及时汇报相应信息的，每次扣</w:t>
            </w:r>
            <w:r>
              <w:rPr>
                <w:rFonts w:asciiTheme="minorEastAsia" w:hAnsiTheme="minorEastAsia" w:eastAsiaTheme="minorEastAsia"/>
                <w:kern w:val="0"/>
                <w:szCs w:val="21"/>
                <w:lang w:bidi="ar"/>
              </w:rPr>
              <w:t>2</w:t>
            </w:r>
            <w:r>
              <w:rPr>
                <w:rStyle w:val="123"/>
                <w:rFonts w:hint="default" w:asciiTheme="minorEastAsia" w:hAnsiTheme="minorEastAsia" w:eastAsiaTheme="minorEastAsia"/>
                <w:color w:val="auto"/>
                <w:sz w:val="21"/>
                <w:szCs w:val="21"/>
                <w:lang w:bidi="ar"/>
              </w:rPr>
              <w:t>分，最多扣</w:t>
            </w:r>
            <w:r>
              <w:rPr>
                <w:rFonts w:asciiTheme="minorEastAsia" w:hAnsiTheme="minorEastAsia" w:eastAsiaTheme="minorEastAsia"/>
                <w:kern w:val="0"/>
                <w:szCs w:val="21"/>
                <w:lang w:bidi="ar"/>
              </w:rPr>
              <w:t>10</w:t>
            </w:r>
            <w:r>
              <w:rPr>
                <w:rStyle w:val="123"/>
                <w:rFonts w:hint="default" w:asciiTheme="minorEastAsia" w:hAnsiTheme="minorEastAsia" w:eastAsiaTheme="minorEastAsia"/>
                <w:color w:val="auto"/>
                <w:sz w:val="21"/>
                <w:szCs w:val="21"/>
                <w:lang w:bidi="ar"/>
              </w:rPr>
              <w:t>分。</w:t>
            </w:r>
          </w:p>
        </w:tc>
        <w:tc>
          <w:tcPr>
            <w:tcW w:w="0" w:type="auto"/>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10</w:t>
            </w:r>
            <w:r>
              <w:rPr>
                <w:rStyle w:val="123"/>
                <w:rFonts w:hint="default" w:asciiTheme="minorEastAsia" w:hAnsiTheme="minorEastAsia" w:eastAsiaTheme="minorEastAsia"/>
                <w:color w:val="auto"/>
                <w:sz w:val="21"/>
                <w:szCs w:val="21"/>
                <w:lang w:bidi="ar"/>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98" w:hRule="atLeast"/>
        </w:trPr>
        <w:tc>
          <w:tcPr>
            <w:tcW w:w="0" w:type="auto"/>
            <w:gridSpan w:val="4"/>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合计</w:t>
            </w:r>
          </w:p>
        </w:tc>
        <w:tc>
          <w:tcPr>
            <w:tcW w:w="0" w:type="auto"/>
            <w:noWrap/>
            <w:vAlign w:val="center"/>
          </w:tcPr>
          <w:p>
            <w:pPr>
              <w:widowControl/>
              <w:jc w:val="center"/>
              <w:textAlignment w:val="center"/>
              <w:rPr>
                <w:rFonts w:asciiTheme="minorEastAsia" w:hAnsiTheme="minorEastAsia" w:eastAsiaTheme="minorEastAsia"/>
                <w:szCs w:val="21"/>
              </w:rPr>
            </w:pPr>
            <w:r>
              <w:rPr>
                <w:rFonts w:asciiTheme="minorEastAsia" w:hAnsiTheme="minorEastAsia" w:eastAsiaTheme="minorEastAsia"/>
                <w:kern w:val="0"/>
                <w:szCs w:val="21"/>
                <w:lang w:bidi="ar"/>
              </w:rPr>
              <w:t>100分</w:t>
            </w:r>
          </w:p>
        </w:tc>
      </w:tr>
    </w:tbl>
    <w:p>
      <w:pPr>
        <w:pStyle w:val="21"/>
        <w:spacing w:line="579" w:lineRule="exact"/>
        <w:ind w:firstLine="640"/>
        <w:rPr>
          <w:rFonts w:eastAsia="仿宋_GB2312"/>
          <w:sz w:val="32"/>
          <w:szCs w:val="32"/>
        </w:rPr>
      </w:pPr>
    </w:p>
    <w:p>
      <w:pPr>
        <w:wordWrap w:val="0"/>
        <w:spacing w:line="440" w:lineRule="exact"/>
        <w:jc w:val="left"/>
        <w:rPr>
          <w:bCs/>
          <w:sz w:val="24"/>
        </w:rPr>
      </w:pPr>
    </w:p>
    <w:p>
      <w:pPr>
        <w:pStyle w:val="21"/>
        <w:jc w:val="center"/>
      </w:pPr>
      <w:r>
        <w:br w:type="page"/>
      </w:r>
    </w:p>
    <w:p>
      <w:pPr>
        <w:pStyle w:val="61"/>
        <w:ind w:firstLine="0"/>
        <w:rPr>
          <w:rFonts w:ascii="Times New Roman" w:hAnsi="Times New Roman"/>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outlineLvl w:val="1"/>
        <w:rPr>
          <w:b/>
          <w:bCs/>
          <w:sz w:val="44"/>
          <w:szCs w:val="44"/>
        </w:rPr>
      </w:pPr>
      <w:bookmarkStart w:id="10" w:name="_Toc170229625"/>
      <w:bookmarkStart w:id="11" w:name="_Toc10124622"/>
      <w:r>
        <w:rPr>
          <w:rFonts w:hint="eastAsia"/>
          <w:b/>
          <w:bCs/>
          <w:sz w:val="44"/>
          <w:szCs w:val="44"/>
        </w:rPr>
        <w:t>第三部分  投标人须知前附表</w:t>
      </w:r>
      <w:bookmarkEnd w:id="10"/>
      <w:bookmarkEnd w:id="11"/>
    </w:p>
    <w:p>
      <w:pPr>
        <w:spacing w:line="440" w:lineRule="exact"/>
        <w:jc w:val="center"/>
        <w:rPr>
          <w:b/>
          <w:bCs/>
          <w:sz w:val="44"/>
          <w:szCs w:val="44"/>
        </w:rPr>
      </w:pPr>
      <w:r>
        <w:rPr>
          <w:b/>
          <w:bCs/>
          <w:sz w:val="44"/>
          <w:szCs w:val="44"/>
        </w:rPr>
        <w:br w:type="page"/>
      </w:r>
      <w:r>
        <w:rPr>
          <w:rFonts w:hint="eastAsia"/>
          <w:b/>
          <w:bCs/>
          <w:sz w:val="44"/>
          <w:szCs w:val="44"/>
        </w:rPr>
        <w:t>投标人须知前附表</w:t>
      </w:r>
    </w:p>
    <w:p/>
    <w:tbl>
      <w:tblPr>
        <w:tblStyle w:val="47"/>
        <w:tblW w:w="80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
        <w:gridCol w:w="1119"/>
        <w:gridCol w:w="6282"/>
        <w:gridCol w:w="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rFonts w:hint="eastAsia"/>
                <w:b/>
                <w:sz w:val="24"/>
              </w:rPr>
              <w:t>序号</w:t>
            </w: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rFonts w:hint="eastAsia"/>
                <w:b/>
                <w:sz w:val="24"/>
              </w:rPr>
              <w:t>条款号</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rFonts w:hint="eastAsia"/>
                <w:b/>
                <w:sz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581" w:hRule="atLeast"/>
          <w:jc w:val="center"/>
        </w:trPr>
        <w:tc>
          <w:tcPr>
            <w:tcW w:w="8065" w:type="dxa"/>
            <w:gridSpan w:val="3"/>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一、说明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1</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1.2</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2</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2.1</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采购人：东莞市民政局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3</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2.2</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采购代理机构：广东中元招标代理有限公司</w:t>
            </w:r>
          </w:p>
          <w:p>
            <w:pPr>
              <w:rPr>
                <w:sz w:val="24"/>
              </w:rPr>
            </w:pPr>
            <w:r>
              <w:rPr>
                <w:rFonts w:hint="eastAsia"/>
                <w:sz w:val="24"/>
              </w:rPr>
              <w:t>地址：东莞市莞城区莞太路120号金马大厦八楼806-809室</w:t>
            </w:r>
          </w:p>
          <w:p>
            <w:pPr>
              <w:rPr>
                <w:sz w:val="24"/>
              </w:rPr>
            </w:pPr>
            <w:r>
              <w:rPr>
                <w:rFonts w:hint="eastAsia"/>
                <w:sz w:val="24"/>
              </w:rPr>
              <w:t>电话：0769-23663761   传真：0769-23663760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4</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3.5</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详见第一部分投标邀请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5</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7</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踏勘现场：无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jc w:val="center"/>
        </w:trPr>
        <w:tc>
          <w:tcPr>
            <w:tcW w:w="8065" w:type="dxa"/>
            <w:gridSpan w:val="3"/>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三、投标文件的编制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6</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14.1</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投标人应提交</w:t>
            </w:r>
            <w:r>
              <w:rPr>
                <w:rFonts w:hint="eastAsia"/>
                <w:b/>
                <w:sz w:val="24"/>
              </w:rPr>
              <w:t>一套正本、五套副本</w:t>
            </w:r>
            <w:r>
              <w:rPr>
                <w:rFonts w:hint="eastAsia"/>
                <w:sz w:val="24"/>
              </w:rPr>
              <w:t>和一份唱标信封的投标文件。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7</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17.1</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投标有效期：九十天。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53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8</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18.4.1</w:t>
            </w:r>
          </w:p>
        </w:tc>
        <w:tc>
          <w:tcPr>
            <w:tcW w:w="6282"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b/>
                <w:sz w:val="24"/>
              </w:rPr>
              <w:t>投标保证金金额：本项目不收取投标保证金。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52" w:hRule="atLeast"/>
          <w:jc w:val="center"/>
        </w:trPr>
        <w:tc>
          <w:tcPr>
            <w:tcW w:w="8065" w:type="dxa"/>
            <w:gridSpan w:val="3"/>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四、投标文件的递交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9</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20.1</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投标截止时间：详见第一部分投标邀请。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554" w:hRule="atLeast"/>
          <w:jc w:val="center"/>
        </w:trPr>
        <w:tc>
          <w:tcPr>
            <w:tcW w:w="8065" w:type="dxa"/>
            <w:gridSpan w:val="3"/>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bCs/>
                <w:sz w:val="24"/>
              </w:rPr>
              <w:t>五、开标与评标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10</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25.4</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评标方法：本次招标的评标方法采用综合评分方法。详见第四部分评分方法。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554" w:hRule="atLeast"/>
          <w:jc w:val="center"/>
        </w:trPr>
        <w:tc>
          <w:tcPr>
            <w:tcW w:w="8065" w:type="dxa"/>
            <w:gridSpan w:val="3"/>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六、合同的授予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11</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29.1</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sz w:val="24"/>
              </w:rPr>
              <w:t>详见第二部分 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1</w:t>
            </w:r>
            <w:r>
              <w:rPr>
                <w:b/>
                <w:sz w:val="24"/>
              </w:rPr>
              <w:t>1</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31.1</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rPr>
                <w:rFonts w:ascii="Time New Roma" w:hAnsi="Time New Roma"/>
                <w:sz w:val="24"/>
              </w:rPr>
            </w:pPr>
            <w:r>
              <w:rPr>
                <w:rFonts w:hint="eastAsia" w:ascii="Time New Roma" w:hAnsi="Time New Roma"/>
                <w:sz w:val="24"/>
              </w:rPr>
              <w:t>中标人须向采购代理机构按如下标准和规定缴纳招标代理服务费：</w:t>
            </w:r>
          </w:p>
          <w:p>
            <w:pPr>
              <w:rPr>
                <w:rFonts w:ascii="Time New Roma" w:hAnsi="Time New Roma"/>
                <w:sz w:val="24"/>
              </w:rPr>
            </w:pPr>
            <w:r>
              <w:rPr>
                <w:rFonts w:ascii="Time New Roma" w:hAnsi="Time New Roma"/>
                <w:sz w:val="24"/>
              </w:rPr>
              <w:t>1、</w:t>
            </w:r>
            <w:r>
              <w:rPr>
                <w:rFonts w:hint="eastAsia" w:ascii="Time New Roma" w:hAnsi="Time New Roma"/>
                <w:sz w:val="24"/>
              </w:rPr>
              <w:t>本项目按中标金额计算招标代理服务费</w:t>
            </w:r>
            <w:r>
              <w:rPr>
                <w:rFonts w:ascii="Time New Roma" w:hAnsi="Time New Roma"/>
                <w:sz w:val="24"/>
              </w:rPr>
              <w:t>；</w:t>
            </w:r>
          </w:p>
          <w:p>
            <w:pPr>
              <w:rPr>
                <w:rFonts w:ascii="Time New Roma" w:hAnsi="Time New Roma"/>
                <w:sz w:val="24"/>
              </w:rPr>
            </w:pPr>
            <w:r>
              <w:rPr>
                <w:rFonts w:ascii="Time New Roma" w:hAnsi="Time New Roma"/>
                <w:sz w:val="24"/>
              </w:rPr>
              <w:t>2</w:t>
            </w:r>
            <w:r>
              <w:rPr>
                <w:rFonts w:hint="eastAsia" w:ascii="Time New Roma" w:hAnsi="Time New Roma"/>
                <w:sz w:val="24"/>
              </w:rPr>
              <w:t>、招标代理服务费</w:t>
            </w:r>
            <w:r>
              <w:rPr>
                <w:rFonts w:hint="eastAsia" w:ascii="Time New Roma" w:hAnsi="Time New Roma"/>
                <w:sz w:val="24"/>
                <w:lang w:val="zh-CN"/>
              </w:rPr>
              <w:t>参照国家计委文件“计价格[2002]1980号文”和国家发展改革委员会办公厅颁布的《国家发展改革委办公厅关于招标代理机构服务收费有关问题》的通知（发改办价格[2003]857号）</w:t>
            </w:r>
            <w:r>
              <w:rPr>
                <w:rFonts w:hint="eastAsia" w:ascii="Time New Roma" w:hAnsi="Time New Roma"/>
                <w:sz w:val="24"/>
              </w:rPr>
              <w:t>的相关规定计算收取：</w:t>
            </w:r>
          </w:p>
          <w:tbl>
            <w:tblPr>
              <w:tblStyle w:val="47"/>
              <w:tblW w:w="57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04"/>
              <w:gridCol w:w="2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04" w:type="dxa"/>
                </w:tcPr>
                <w:p>
                  <w:pPr>
                    <w:rPr>
                      <w:rFonts w:ascii="Time New Roma" w:hAnsi="Time New Roma"/>
                      <w:sz w:val="24"/>
                    </w:rPr>
                  </w:pPr>
                  <w:r>
                    <w:rPr>
                      <w:rFonts w:hint="eastAsia" w:ascii="Time New Roma" w:hAnsi="Time New Roma"/>
                      <w:sz w:val="24"/>
                    </w:rPr>
                    <w:t>中标金额（万元）</w:t>
                  </w:r>
                </w:p>
              </w:tc>
              <w:tc>
                <w:tcPr>
                  <w:tcW w:w="2804" w:type="dxa"/>
                  <w:vAlign w:val="center"/>
                </w:tcPr>
                <w:p>
                  <w:pPr>
                    <w:rPr>
                      <w:rFonts w:ascii="Time New Roma" w:hAnsi="Time New Roma"/>
                      <w:sz w:val="24"/>
                    </w:rPr>
                  </w:pPr>
                  <w:r>
                    <w:rPr>
                      <w:rFonts w:hint="eastAsia" w:ascii="Time New Roma" w:hAnsi="Time New Roma"/>
                      <w:sz w:val="24"/>
                    </w:rPr>
                    <w:t>收费费率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04" w:type="dxa"/>
                </w:tcPr>
                <w:p>
                  <w:pPr>
                    <w:rPr>
                      <w:rFonts w:ascii="Time New Roma" w:hAnsi="Time New Roma"/>
                      <w:sz w:val="24"/>
                    </w:rPr>
                  </w:pPr>
                  <w:r>
                    <w:rPr>
                      <w:rFonts w:ascii="Time New Roma" w:hAnsi="Time New Roma"/>
                      <w:sz w:val="24"/>
                    </w:rPr>
                    <w:t>1</w:t>
                  </w:r>
                  <w:r>
                    <w:rPr>
                      <w:rFonts w:hint="eastAsia" w:ascii="Time New Roma" w:hAnsi="Time New Roma"/>
                      <w:sz w:val="24"/>
                    </w:rPr>
                    <w:t>0</w:t>
                  </w:r>
                  <w:r>
                    <w:rPr>
                      <w:rFonts w:ascii="Time New Roma" w:hAnsi="Time New Roma"/>
                      <w:sz w:val="24"/>
                    </w:rPr>
                    <w:t>0</w:t>
                  </w:r>
                </w:p>
              </w:tc>
              <w:tc>
                <w:tcPr>
                  <w:tcW w:w="2804" w:type="dxa"/>
                  <w:vAlign w:val="center"/>
                </w:tcPr>
                <w:p>
                  <w:pPr>
                    <w:jc w:val="center"/>
                    <w:rPr>
                      <w:rFonts w:ascii="Time New Roma" w:hAnsi="Time New Roma"/>
                      <w:sz w:val="24"/>
                    </w:rPr>
                  </w:pPr>
                  <w:r>
                    <w:rPr>
                      <w:rFonts w:ascii="Time New Roma" w:hAnsi="Time New Roma"/>
                      <w:sz w:val="24"/>
                    </w:rPr>
                    <w:t>1</w:t>
                  </w:r>
                  <w:r>
                    <w:rPr>
                      <w:rFonts w:hint="eastAsia" w:ascii="Time New Roma" w:hAnsi="Time New Roma"/>
                      <w:sz w:val="24"/>
                    </w:rPr>
                    <w:t>.</w:t>
                  </w:r>
                  <w:r>
                    <w:rPr>
                      <w:rFonts w:ascii="Time New Roma" w:hAnsi="Time New Roma"/>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04" w:type="dxa"/>
                </w:tcPr>
                <w:p>
                  <w:pPr>
                    <w:rPr>
                      <w:rFonts w:ascii="Time New Roma" w:hAnsi="Time New Roma"/>
                      <w:sz w:val="24"/>
                    </w:rPr>
                  </w:pPr>
                  <w:r>
                    <w:rPr>
                      <w:rFonts w:ascii="Time New Roma" w:hAnsi="Time New Roma"/>
                      <w:sz w:val="24"/>
                    </w:rPr>
                    <w:t>100-500</w:t>
                  </w:r>
                </w:p>
              </w:tc>
              <w:tc>
                <w:tcPr>
                  <w:tcW w:w="2804" w:type="dxa"/>
                  <w:vAlign w:val="center"/>
                </w:tcPr>
                <w:p>
                  <w:pPr>
                    <w:jc w:val="center"/>
                    <w:rPr>
                      <w:rFonts w:ascii="Time New Roma" w:hAnsi="Time New Roma"/>
                      <w:sz w:val="24"/>
                    </w:rPr>
                  </w:pPr>
                  <w:r>
                    <w:rPr>
                      <w:rFonts w:hint="eastAsia" w:ascii="Time New Roma" w:hAnsi="Time New Roma"/>
                      <w:sz w:val="24"/>
                    </w:rPr>
                    <w:t>0.8</w:t>
                  </w:r>
                  <w:r>
                    <w:rPr>
                      <w:rFonts w:ascii="Time New Roma" w:hAnsi="Time New Rom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04" w:type="dxa"/>
                </w:tcPr>
                <w:p>
                  <w:pPr>
                    <w:rPr>
                      <w:rFonts w:ascii="Time New Roma" w:hAnsi="Time New Roma"/>
                      <w:sz w:val="24"/>
                    </w:rPr>
                  </w:pPr>
                  <w:r>
                    <w:rPr>
                      <w:rFonts w:ascii="Time New Roma" w:hAnsi="Time New Roma"/>
                      <w:sz w:val="24"/>
                    </w:rPr>
                    <w:t>5</w:t>
                  </w:r>
                  <w:r>
                    <w:rPr>
                      <w:rFonts w:hint="eastAsia" w:ascii="Time New Roma" w:hAnsi="Time New Roma"/>
                      <w:sz w:val="24"/>
                    </w:rPr>
                    <w:t>0</w:t>
                  </w:r>
                  <w:r>
                    <w:rPr>
                      <w:rFonts w:ascii="Time New Roma" w:hAnsi="Time New Roma"/>
                      <w:sz w:val="24"/>
                    </w:rPr>
                    <w:t>0-100</w:t>
                  </w:r>
                  <w:r>
                    <w:rPr>
                      <w:rFonts w:hint="eastAsia" w:ascii="Time New Roma" w:hAnsi="Time New Roma"/>
                      <w:sz w:val="24"/>
                    </w:rPr>
                    <w:t>0</w:t>
                  </w:r>
                </w:p>
              </w:tc>
              <w:tc>
                <w:tcPr>
                  <w:tcW w:w="2804" w:type="dxa"/>
                  <w:vAlign w:val="center"/>
                </w:tcPr>
                <w:p>
                  <w:pPr>
                    <w:jc w:val="center"/>
                    <w:rPr>
                      <w:rFonts w:ascii="Time New Roma" w:hAnsi="Time New Roma"/>
                      <w:sz w:val="24"/>
                    </w:rPr>
                  </w:pPr>
                  <w:r>
                    <w:rPr>
                      <w:rFonts w:ascii="Time New Roma" w:hAnsi="Time New Roma"/>
                      <w:sz w:val="24"/>
                    </w:rPr>
                    <w:t>0.</w:t>
                  </w:r>
                  <w:r>
                    <w:rPr>
                      <w:rFonts w:hint="eastAsia" w:ascii="Time New Roma" w:hAnsi="Time New Roma"/>
                      <w:sz w:val="24"/>
                    </w:rPr>
                    <w:t>45</w:t>
                  </w:r>
                  <w:r>
                    <w:rPr>
                      <w:rFonts w:ascii="Time New Roma" w:hAnsi="Time New Rom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04" w:type="dxa"/>
                </w:tcPr>
                <w:p>
                  <w:pPr>
                    <w:rPr>
                      <w:rFonts w:ascii="Time New Roma" w:hAnsi="Time New Roma"/>
                      <w:sz w:val="24"/>
                    </w:rPr>
                  </w:pPr>
                  <w:r>
                    <w:rPr>
                      <w:rFonts w:ascii="Time New Roma" w:hAnsi="Time New Roma"/>
                      <w:sz w:val="24"/>
                    </w:rPr>
                    <w:t>100</w:t>
                  </w:r>
                  <w:r>
                    <w:rPr>
                      <w:rFonts w:hint="eastAsia" w:ascii="Time New Roma" w:hAnsi="Time New Roma"/>
                      <w:sz w:val="24"/>
                    </w:rPr>
                    <w:t>0</w:t>
                  </w:r>
                  <w:r>
                    <w:rPr>
                      <w:rFonts w:ascii="Time New Roma" w:hAnsi="Time New Roma"/>
                      <w:sz w:val="24"/>
                    </w:rPr>
                    <w:t>-5000</w:t>
                  </w:r>
                </w:p>
              </w:tc>
              <w:tc>
                <w:tcPr>
                  <w:tcW w:w="2804" w:type="dxa"/>
                  <w:vAlign w:val="center"/>
                </w:tcPr>
                <w:p>
                  <w:pPr>
                    <w:jc w:val="center"/>
                    <w:rPr>
                      <w:rFonts w:ascii="Time New Roma" w:hAnsi="Time New Roma"/>
                      <w:sz w:val="24"/>
                    </w:rPr>
                  </w:pPr>
                  <w:r>
                    <w:rPr>
                      <w:rFonts w:ascii="Time New Roma" w:hAnsi="Time New Roma"/>
                      <w:sz w:val="24"/>
                    </w:rPr>
                    <w:t>0</w:t>
                  </w:r>
                  <w:r>
                    <w:rPr>
                      <w:rFonts w:hint="eastAsia" w:ascii="Time New Roma" w:hAnsi="Time New Roma"/>
                      <w:sz w:val="24"/>
                    </w:rPr>
                    <w:t>.25</w:t>
                  </w:r>
                  <w:r>
                    <w:rPr>
                      <w:rFonts w:ascii="Time New Roma" w:hAnsi="Time New Roma"/>
                      <w:sz w:val="24"/>
                    </w:rPr>
                    <w:t>%</w:t>
                  </w:r>
                </w:p>
              </w:tc>
            </w:tr>
          </w:tbl>
          <w:p>
            <w:pPr>
              <w:rPr>
                <w:rFonts w:ascii="Time New Roma" w:hAnsi="Time New Roma"/>
                <w:sz w:val="24"/>
              </w:rPr>
            </w:pPr>
            <w:r>
              <w:rPr>
                <w:rFonts w:hint="eastAsia" w:ascii="Time New Roma" w:hAnsi="Time New Roma"/>
                <w:sz w:val="24"/>
              </w:rPr>
              <w:t>注：中标服务费按差额定率累进法计算。</w:t>
            </w:r>
          </w:p>
          <w:p>
            <w:pPr>
              <w:rPr>
                <w:rFonts w:ascii="Time New Roma" w:hAnsi="Time New Roma"/>
                <w:sz w:val="24"/>
              </w:rPr>
            </w:pPr>
            <w:r>
              <w:rPr>
                <w:rFonts w:hint="eastAsia" w:ascii="Time New Roma" w:hAnsi="Time New Roma"/>
                <w:sz w:val="24"/>
              </w:rPr>
              <w:t>例如：某服务类项目中标金额为1000万元，计算中标服务费额如下：</w:t>
            </w:r>
          </w:p>
          <w:p>
            <w:pPr>
              <w:rPr>
                <w:rFonts w:ascii="Time New Roma" w:hAnsi="Time New Roma"/>
                <w:sz w:val="24"/>
              </w:rPr>
            </w:pPr>
            <w:r>
              <w:rPr>
                <w:rFonts w:hint="eastAsia" w:ascii="Time New Roma" w:hAnsi="Time New Roma"/>
                <w:sz w:val="24"/>
              </w:rPr>
              <w:t>100万元×1.5%=1.5万元</w:t>
            </w:r>
          </w:p>
          <w:p>
            <w:pPr>
              <w:rPr>
                <w:rFonts w:ascii="Time New Roma" w:hAnsi="Time New Roma"/>
                <w:sz w:val="24"/>
              </w:rPr>
            </w:pPr>
            <w:r>
              <w:rPr>
                <w:rFonts w:hint="eastAsia" w:ascii="Time New Roma" w:hAnsi="Time New Roma"/>
                <w:sz w:val="24"/>
              </w:rPr>
              <w:t>(500-100）万元×0.8%=3.2万元</w:t>
            </w:r>
          </w:p>
          <w:p>
            <w:pPr>
              <w:rPr>
                <w:rFonts w:ascii="Time New Roma" w:hAnsi="Time New Roma"/>
                <w:sz w:val="24"/>
              </w:rPr>
            </w:pPr>
            <w:r>
              <w:rPr>
                <w:rFonts w:hint="eastAsia" w:ascii="Time New Roma" w:hAnsi="Time New Roma"/>
                <w:sz w:val="24"/>
              </w:rPr>
              <w:t>(1000-500）万元×0.45%=2.25万元</w:t>
            </w:r>
          </w:p>
          <w:p>
            <w:pPr>
              <w:rPr>
                <w:sz w:val="24"/>
              </w:rPr>
            </w:pPr>
            <w:r>
              <w:rPr>
                <w:rFonts w:hint="eastAsia" w:ascii="Time New Roma" w:hAnsi="Time New Roma"/>
                <w:sz w:val="24"/>
              </w:rPr>
              <w:t>合计收费=1.5+3.2+2.25=6.95（万元）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9"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1</w:t>
            </w:r>
            <w:r>
              <w:rPr>
                <w:b/>
                <w:sz w:val="24"/>
              </w:rPr>
              <w:t>2</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31.4</w:t>
            </w:r>
          </w:p>
        </w:tc>
        <w:tc>
          <w:tcPr>
            <w:tcW w:w="6291"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中标服务费以转账方式支付的，请转至以下账户：</w:t>
            </w:r>
          </w:p>
          <w:p>
            <w:pPr>
              <w:rPr>
                <w:sz w:val="24"/>
              </w:rPr>
            </w:pPr>
            <w:r>
              <w:rPr>
                <w:rFonts w:hint="eastAsia"/>
                <w:sz w:val="24"/>
              </w:rPr>
              <w:t>账户名称：广东中元招标代理有限公司</w:t>
            </w:r>
          </w:p>
          <w:p>
            <w:pPr>
              <w:rPr>
                <w:sz w:val="24"/>
              </w:rPr>
            </w:pPr>
            <w:r>
              <w:rPr>
                <w:rFonts w:hint="eastAsia"/>
                <w:sz w:val="24"/>
              </w:rPr>
              <w:t>账    号：</w:t>
            </w:r>
            <w:r>
              <w:rPr>
                <w:sz w:val="24"/>
              </w:rPr>
              <w:t>654857750168</w:t>
            </w:r>
          </w:p>
          <w:p>
            <w:pPr>
              <w:rPr>
                <w:sz w:val="24"/>
              </w:rPr>
            </w:pPr>
            <w:r>
              <w:rPr>
                <w:rFonts w:hint="eastAsia"/>
                <w:sz w:val="24"/>
              </w:rPr>
              <w:t>开户银行：中国银行东莞会展支行</w:t>
            </w:r>
          </w:p>
        </w:tc>
      </w:tr>
    </w:tbl>
    <w:p>
      <w:pPr>
        <w:spacing w:line="440" w:lineRule="exact"/>
        <w:jc w:val="center"/>
        <w:rPr>
          <w:rFonts w:eastAsia="黑体"/>
          <w:b/>
          <w:bCs/>
          <w:sz w:val="36"/>
        </w:rPr>
      </w:pPr>
      <w:r>
        <w:rPr>
          <w:b/>
          <w:bCs/>
          <w:sz w:val="36"/>
          <w:szCs w:val="36"/>
        </w:rPr>
        <w:br w:type="page"/>
      </w: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ind w:firstLine="210"/>
        <w:jc w:val="center"/>
        <w:outlineLvl w:val="1"/>
        <w:rPr>
          <w:b/>
          <w:bCs/>
          <w:sz w:val="44"/>
          <w:szCs w:val="44"/>
        </w:rPr>
      </w:pPr>
      <w:bookmarkStart w:id="12" w:name="_Toc10124623"/>
      <w:bookmarkStart w:id="13" w:name="_Toc170229626"/>
      <w:r>
        <w:rPr>
          <w:rFonts w:hint="eastAsia"/>
          <w:b/>
          <w:bCs/>
          <w:sz w:val="44"/>
          <w:szCs w:val="44"/>
        </w:rPr>
        <w:t>第四部分  评分方法</w:t>
      </w:r>
      <w:bookmarkEnd w:id="12"/>
      <w:bookmarkEnd w:id="13"/>
    </w:p>
    <w:p>
      <w:pPr>
        <w:spacing w:line="440" w:lineRule="exact"/>
        <w:jc w:val="center"/>
        <w:rPr>
          <w:b/>
          <w:bCs/>
          <w:sz w:val="44"/>
          <w:szCs w:val="44"/>
        </w:rPr>
      </w:pPr>
      <w:r>
        <w:rPr>
          <w:b/>
          <w:bCs/>
          <w:sz w:val="44"/>
          <w:szCs w:val="44"/>
        </w:rPr>
        <w:br w:type="page"/>
      </w:r>
      <w:r>
        <w:rPr>
          <w:rFonts w:hint="eastAsia"/>
          <w:b/>
          <w:bCs/>
          <w:sz w:val="44"/>
          <w:szCs w:val="44"/>
        </w:rPr>
        <w:t>评分方法</w:t>
      </w:r>
    </w:p>
    <w:p>
      <w:pPr>
        <w:spacing w:line="440" w:lineRule="exact"/>
        <w:ind w:firstLine="480" w:firstLineChars="200"/>
        <w:rPr>
          <w:sz w:val="24"/>
        </w:rPr>
      </w:pPr>
      <w:r>
        <w:rPr>
          <w:rFonts w:hint="eastAsia"/>
          <w:sz w:val="24"/>
        </w:rPr>
        <w:t>根据评标原则，所有投标文件的评分按技术部分、商务部分和价格部分三个部分分别打分的方式进行。</w:t>
      </w:r>
    </w:p>
    <w:p>
      <w:pPr>
        <w:spacing w:line="440" w:lineRule="exact"/>
        <w:ind w:firstLine="480" w:firstLineChars="200"/>
        <w:rPr>
          <w:sz w:val="24"/>
        </w:rPr>
      </w:pPr>
      <w:r>
        <w:rPr>
          <w:rFonts w:hint="eastAsia"/>
          <w:sz w:val="24"/>
        </w:rPr>
        <w:t>评标总得分</w:t>
      </w:r>
      <w:r>
        <w:rPr>
          <w:sz w:val="24"/>
        </w:rPr>
        <w:t>=</w:t>
      </w:r>
      <w:r>
        <w:rPr>
          <w:rFonts w:hint="eastAsia"/>
          <w:sz w:val="24"/>
        </w:rPr>
        <w:t>技术部分</w:t>
      </w:r>
      <w:r>
        <w:rPr>
          <w:sz w:val="24"/>
        </w:rPr>
        <w:t>+</w:t>
      </w:r>
      <w:r>
        <w:rPr>
          <w:rFonts w:hint="eastAsia"/>
          <w:sz w:val="24"/>
        </w:rPr>
        <w:t>商务部分</w:t>
      </w:r>
      <w:r>
        <w:rPr>
          <w:sz w:val="24"/>
        </w:rPr>
        <w:t>+</w:t>
      </w:r>
      <w:r>
        <w:rPr>
          <w:rFonts w:hint="eastAsia"/>
          <w:sz w:val="24"/>
        </w:rPr>
        <w:t>价格部分。</w:t>
      </w:r>
    </w:p>
    <w:p>
      <w:pPr>
        <w:spacing w:line="440" w:lineRule="exact"/>
        <w:ind w:firstLine="480" w:firstLineChars="200"/>
        <w:rPr>
          <w:sz w:val="24"/>
        </w:rPr>
      </w:pPr>
      <w:r>
        <w:rPr>
          <w:rFonts w:hint="eastAsia"/>
          <w:sz w:val="24"/>
        </w:rPr>
        <w:t>评分因素分值表如下：</w:t>
      </w:r>
    </w:p>
    <w:p>
      <w:pPr>
        <w:spacing w:line="440" w:lineRule="exact"/>
        <w:ind w:firstLine="482" w:firstLineChars="200"/>
        <w:rPr>
          <w:b/>
          <w:sz w:val="24"/>
        </w:rPr>
      </w:pPr>
      <w:r>
        <w:rPr>
          <w:rFonts w:hint="eastAsia"/>
          <w:b/>
          <w:sz w:val="24"/>
        </w:rPr>
        <w:t>一、价格部分（满分15分）</w:t>
      </w:r>
    </w:p>
    <w:p>
      <w:pPr>
        <w:spacing w:line="440" w:lineRule="exact"/>
        <w:ind w:firstLine="480" w:firstLineChars="200"/>
        <w:rPr>
          <w:sz w:val="24"/>
        </w:rPr>
      </w:pPr>
      <w:r>
        <w:rPr>
          <w:rFonts w:hint="eastAsia"/>
          <w:sz w:val="24"/>
        </w:rPr>
        <w:t>综合评分法中的价格分统一采用低价优先法计算，即满足招标文件要求且投标价格最低的投标报价为评标基准价，其价格分为满分，各供应商的价格评分统一按照下列公式计算：</w:t>
      </w:r>
    </w:p>
    <w:p>
      <w:pPr>
        <w:spacing w:line="440" w:lineRule="exact"/>
        <w:ind w:firstLine="480" w:firstLineChars="200"/>
        <w:rPr>
          <w:sz w:val="24"/>
        </w:rPr>
      </w:pPr>
      <w:r>
        <w:rPr>
          <w:rFonts w:hint="eastAsia"/>
          <w:sz w:val="24"/>
        </w:rPr>
        <w:t>价格得分＝（评标基准价/评标价）×价格分值</w:t>
      </w:r>
    </w:p>
    <w:p>
      <w:pPr>
        <w:spacing w:line="440" w:lineRule="exact"/>
        <w:ind w:firstLine="480" w:firstLineChars="200"/>
        <w:rPr>
          <w:sz w:val="24"/>
        </w:rPr>
      </w:pPr>
      <w:r>
        <w:rPr>
          <w:rFonts w:hint="eastAsia"/>
          <w:sz w:val="24"/>
        </w:rPr>
        <w:t>评标价：按招标文件规定条款的原则校核修正后的价格；</w:t>
      </w:r>
    </w:p>
    <w:p>
      <w:pPr>
        <w:spacing w:line="480" w:lineRule="exact"/>
        <w:ind w:firstLine="480" w:firstLineChars="200"/>
        <w:rPr>
          <w:sz w:val="24"/>
        </w:rPr>
      </w:pPr>
      <w:r>
        <w:rPr>
          <w:rFonts w:hint="eastAsia"/>
          <w:sz w:val="24"/>
        </w:rPr>
        <w:t>评标基准价：各有效供应商的最低评标价。</w:t>
      </w:r>
    </w:p>
    <w:p>
      <w:pPr>
        <w:spacing w:line="440" w:lineRule="exact"/>
        <w:ind w:firstLine="482" w:firstLineChars="200"/>
        <w:rPr>
          <w:b/>
          <w:sz w:val="24"/>
        </w:rPr>
      </w:pPr>
      <w:r>
        <w:rPr>
          <w:rFonts w:hint="eastAsia"/>
          <w:b/>
          <w:sz w:val="24"/>
        </w:rPr>
        <w:t>二、商务部分（满分30分）</w:t>
      </w:r>
    </w:p>
    <w:tbl>
      <w:tblPr>
        <w:tblStyle w:val="4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74"/>
        <w:gridCol w:w="1418"/>
        <w:gridCol w:w="848"/>
        <w:gridCol w:w="55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395" w:type="pct"/>
            <w:tcBorders>
              <w:top w:val="single" w:color="auto" w:sz="2" w:space="0"/>
              <w:left w:val="single" w:color="auto" w:sz="2" w:space="0"/>
              <w:bottom w:val="single" w:color="auto" w:sz="2" w:space="0"/>
              <w:right w:val="single" w:color="auto" w:sz="4" w:space="0"/>
            </w:tcBorders>
            <w:shd w:val="clear" w:color="auto" w:fill="auto"/>
            <w:vAlign w:val="center"/>
          </w:tcPr>
          <w:p>
            <w:pPr>
              <w:jc w:val="center"/>
              <w:rPr>
                <w:b/>
                <w:sz w:val="24"/>
              </w:rPr>
            </w:pPr>
            <w:r>
              <w:rPr>
                <w:b/>
                <w:sz w:val="24"/>
              </w:rPr>
              <w:t>序号</w:t>
            </w:r>
          </w:p>
        </w:tc>
        <w:tc>
          <w:tcPr>
            <w:tcW w:w="831" w:type="pct"/>
            <w:tcBorders>
              <w:top w:val="single" w:color="auto" w:sz="2" w:space="0"/>
              <w:left w:val="single" w:color="auto" w:sz="4" w:space="0"/>
              <w:bottom w:val="single" w:color="auto" w:sz="2" w:space="0"/>
              <w:right w:val="single" w:color="auto" w:sz="2" w:space="0"/>
            </w:tcBorders>
            <w:shd w:val="clear" w:color="auto" w:fill="auto"/>
            <w:vAlign w:val="center"/>
          </w:tcPr>
          <w:p>
            <w:pPr>
              <w:jc w:val="center"/>
              <w:rPr>
                <w:b/>
                <w:sz w:val="24"/>
              </w:rPr>
            </w:pPr>
            <w:r>
              <w:rPr>
                <w:b/>
                <w:sz w:val="24"/>
              </w:rPr>
              <w:t>评审内容</w:t>
            </w:r>
          </w:p>
        </w:tc>
        <w:tc>
          <w:tcPr>
            <w:tcW w:w="497" w:type="pct"/>
            <w:tcBorders>
              <w:top w:val="single" w:color="auto" w:sz="4" w:space="0"/>
              <w:left w:val="single" w:color="auto" w:sz="2" w:space="0"/>
              <w:right w:val="single" w:color="auto" w:sz="2" w:space="0"/>
            </w:tcBorders>
            <w:shd w:val="clear" w:color="auto" w:fill="auto"/>
            <w:vAlign w:val="center"/>
          </w:tcPr>
          <w:p>
            <w:pPr>
              <w:jc w:val="center"/>
              <w:rPr>
                <w:b/>
                <w:sz w:val="24"/>
              </w:rPr>
            </w:pPr>
            <w:r>
              <w:rPr>
                <w:b/>
                <w:sz w:val="24"/>
              </w:rPr>
              <w:t>分值</w:t>
            </w:r>
          </w:p>
        </w:tc>
        <w:tc>
          <w:tcPr>
            <w:tcW w:w="3274" w:type="pct"/>
            <w:tcBorders>
              <w:top w:val="single" w:color="auto" w:sz="4" w:space="0"/>
              <w:left w:val="single" w:color="auto" w:sz="4" w:space="0"/>
              <w:right w:val="single" w:color="auto" w:sz="2" w:space="0"/>
            </w:tcBorders>
            <w:shd w:val="clear" w:color="auto" w:fill="auto"/>
            <w:vAlign w:val="center"/>
          </w:tcPr>
          <w:p>
            <w:pPr>
              <w:jc w:val="center"/>
              <w:rPr>
                <w:b/>
                <w:sz w:val="24"/>
              </w:rPr>
            </w:pPr>
            <w:r>
              <w:rPr>
                <w:b/>
                <w:sz w:val="24"/>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95" w:type="pct"/>
            <w:tcBorders>
              <w:top w:val="single" w:color="auto" w:sz="2" w:space="0"/>
              <w:left w:val="single" w:color="auto" w:sz="2" w:space="0"/>
              <w:right w:val="single" w:color="auto" w:sz="4" w:space="0"/>
            </w:tcBorders>
            <w:shd w:val="clear" w:color="auto" w:fill="auto"/>
            <w:vAlign w:val="center"/>
          </w:tcPr>
          <w:p>
            <w:pPr>
              <w:jc w:val="center"/>
              <w:rPr>
                <w:sz w:val="24"/>
              </w:rPr>
            </w:pPr>
            <w:r>
              <w:rPr>
                <w:sz w:val="24"/>
              </w:rPr>
              <w:t>1</w:t>
            </w:r>
          </w:p>
        </w:tc>
        <w:tc>
          <w:tcPr>
            <w:tcW w:w="831" w:type="pct"/>
            <w:tcBorders>
              <w:top w:val="single" w:color="auto" w:sz="2" w:space="0"/>
              <w:left w:val="single" w:color="auto" w:sz="4" w:space="0"/>
              <w:right w:val="single" w:color="auto" w:sz="2" w:space="0"/>
            </w:tcBorders>
            <w:shd w:val="clear" w:color="auto" w:fill="auto"/>
            <w:vAlign w:val="center"/>
          </w:tcPr>
          <w:p>
            <w:pPr>
              <w:jc w:val="center"/>
              <w:rPr>
                <w:sz w:val="24"/>
              </w:rPr>
            </w:pPr>
            <w:r>
              <w:rPr>
                <w:rFonts w:hint="eastAsia"/>
                <w:sz w:val="24"/>
              </w:rPr>
              <w:t>体系认证</w:t>
            </w:r>
          </w:p>
        </w:tc>
        <w:tc>
          <w:tcPr>
            <w:tcW w:w="497" w:type="pct"/>
            <w:tcBorders>
              <w:top w:val="single" w:color="auto" w:sz="4" w:space="0"/>
              <w:left w:val="single" w:color="auto" w:sz="2" w:space="0"/>
              <w:right w:val="single" w:color="auto" w:sz="2" w:space="0"/>
            </w:tcBorders>
            <w:shd w:val="clear" w:color="auto" w:fill="auto"/>
            <w:vAlign w:val="center"/>
          </w:tcPr>
          <w:p>
            <w:pPr>
              <w:jc w:val="center"/>
              <w:rPr>
                <w:sz w:val="24"/>
              </w:rPr>
            </w:pPr>
            <w:r>
              <w:rPr>
                <w:rFonts w:hint="eastAsia"/>
                <w:sz w:val="24"/>
              </w:rPr>
              <w:t>15分</w:t>
            </w:r>
          </w:p>
        </w:tc>
        <w:tc>
          <w:tcPr>
            <w:tcW w:w="3274" w:type="pct"/>
            <w:tcBorders>
              <w:top w:val="single" w:color="auto" w:sz="4" w:space="0"/>
              <w:left w:val="single" w:color="auto" w:sz="4" w:space="0"/>
              <w:right w:val="single" w:color="auto" w:sz="2" w:space="0"/>
            </w:tcBorders>
            <w:shd w:val="clear" w:color="auto" w:fill="auto"/>
            <w:vAlign w:val="center"/>
          </w:tcPr>
          <w:p>
            <w:pPr>
              <w:ind w:firstLine="480" w:firstLineChars="200"/>
              <w:rPr>
                <w:sz w:val="24"/>
              </w:rPr>
            </w:pPr>
            <w:r>
              <w:rPr>
                <w:rFonts w:hint="eastAsia"/>
                <w:sz w:val="24"/>
              </w:rPr>
              <w:t>投标人具有国家认证认可监督管理部门批准设立的认证机构颁发的质量管理体系认证证书、环境管理体系认证证书、职业健康安全管理体系认证证书、信息安全管理体系认证证书、信息技术服务管理体系认证证书的，每个得3分，最高得15分。</w:t>
            </w:r>
          </w:p>
          <w:p>
            <w:pPr>
              <w:ind w:firstLine="482" w:firstLineChars="200"/>
              <w:rPr>
                <w:b/>
                <w:sz w:val="24"/>
              </w:rPr>
            </w:pPr>
            <w:r>
              <w:rPr>
                <w:rFonts w:hint="eastAsia"/>
                <w:b/>
                <w:sz w:val="24"/>
              </w:rPr>
              <w:t>注：须提供相关证书以及“全国认证认可信息公共服务平台”网站（http://cx.cnca.cn/）的查询截图（证书状态为有效），复印件和截图加盖投标人公章。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3" w:hRule="atLeast"/>
          <w:jc w:val="center"/>
        </w:trPr>
        <w:tc>
          <w:tcPr>
            <w:tcW w:w="395" w:type="pct"/>
            <w:tcBorders>
              <w:top w:val="single" w:color="auto" w:sz="2" w:space="0"/>
              <w:left w:val="single" w:color="auto" w:sz="2" w:space="0"/>
              <w:bottom w:val="single" w:color="auto" w:sz="2" w:space="0"/>
              <w:right w:val="single" w:color="auto" w:sz="4" w:space="0"/>
            </w:tcBorders>
            <w:shd w:val="clear" w:color="auto" w:fill="auto"/>
            <w:vAlign w:val="center"/>
          </w:tcPr>
          <w:p>
            <w:pPr>
              <w:jc w:val="center"/>
              <w:rPr>
                <w:sz w:val="24"/>
              </w:rPr>
            </w:pPr>
            <w:r>
              <w:rPr>
                <w:sz w:val="24"/>
              </w:rPr>
              <w:t>2</w:t>
            </w:r>
          </w:p>
        </w:tc>
        <w:tc>
          <w:tcPr>
            <w:tcW w:w="831" w:type="pct"/>
            <w:tcBorders>
              <w:top w:val="single" w:color="auto" w:sz="2" w:space="0"/>
              <w:left w:val="single" w:color="auto" w:sz="4" w:space="0"/>
              <w:bottom w:val="single" w:color="auto" w:sz="2" w:space="0"/>
              <w:right w:val="single" w:color="auto" w:sz="2" w:space="0"/>
            </w:tcBorders>
            <w:shd w:val="clear" w:color="auto" w:fill="auto"/>
            <w:vAlign w:val="center"/>
          </w:tcPr>
          <w:p>
            <w:pPr>
              <w:jc w:val="center"/>
              <w:rPr>
                <w:sz w:val="24"/>
              </w:rPr>
            </w:pPr>
            <w:r>
              <w:rPr>
                <w:rFonts w:hint="eastAsia"/>
                <w:sz w:val="24"/>
              </w:rPr>
              <w:t>同类项目业绩</w:t>
            </w:r>
          </w:p>
        </w:tc>
        <w:tc>
          <w:tcPr>
            <w:tcW w:w="497" w:type="pct"/>
            <w:tcBorders>
              <w:top w:val="single" w:color="auto" w:sz="4" w:space="0"/>
              <w:left w:val="single" w:color="auto" w:sz="2" w:space="0"/>
              <w:bottom w:val="single" w:color="auto" w:sz="4" w:space="0"/>
              <w:right w:val="single" w:color="auto" w:sz="2" w:space="0"/>
            </w:tcBorders>
            <w:shd w:val="clear" w:color="auto" w:fill="auto"/>
            <w:vAlign w:val="center"/>
          </w:tcPr>
          <w:p>
            <w:pPr>
              <w:jc w:val="center"/>
              <w:rPr>
                <w:sz w:val="24"/>
              </w:rPr>
            </w:pPr>
            <w:r>
              <w:rPr>
                <w:rFonts w:hint="eastAsia"/>
                <w:sz w:val="24"/>
              </w:rPr>
              <w:t>12分</w:t>
            </w:r>
          </w:p>
        </w:tc>
        <w:tc>
          <w:tcPr>
            <w:tcW w:w="3274" w:type="pct"/>
            <w:tcBorders>
              <w:top w:val="single" w:color="auto" w:sz="4" w:space="0"/>
              <w:left w:val="single" w:color="auto" w:sz="4" w:space="0"/>
              <w:bottom w:val="single" w:color="auto" w:sz="4" w:space="0"/>
              <w:right w:val="single" w:color="auto" w:sz="2" w:space="0"/>
            </w:tcBorders>
            <w:shd w:val="clear" w:color="auto" w:fill="auto"/>
            <w:vAlign w:val="center"/>
          </w:tcPr>
          <w:p>
            <w:pPr>
              <w:ind w:firstLine="480" w:firstLineChars="200"/>
              <w:rPr>
                <w:sz w:val="24"/>
              </w:rPr>
            </w:pPr>
            <w:r>
              <w:rPr>
                <w:rFonts w:hint="eastAsia"/>
                <w:sz w:val="24"/>
              </w:rPr>
              <w:t>投标人具有信息平台运维服务类或数据治理服务类项目业绩的，每个得2分，最高得12分。</w:t>
            </w:r>
          </w:p>
          <w:p>
            <w:pPr>
              <w:ind w:firstLine="482" w:firstLineChars="200"/>
              <w:rPr>
                <w:b/>
                <w:sz w:val="24"/>
              </w:rPr>
            </w:pPr>
            <w:r>
              <w:rPr>
                <w:rFonts w:hint="eastAsia"/>
                <w:b/>
                <w:sz w:val="24"/>
              </w:rPr>
              <w:t>注：须提供合同复印件，以及合同服务期内任意一张发票复印件，均需加盖投标人公章。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95" w:type="pct"/>
            <w:tcBorders>
              <w:top w:val="single" w:color="auto" w:sz="2" w:space="0"/>
              <w:left w:val="single" w:color="auto" w:sz="2" w:space="0"/>
              <w:right w:val="single" w:color="auto" w:sz="4" w:space="0"/>
            </w:tcBorders>
            <w:shd w:val="clear" w:color="auto" w:fill="auto"/>
            <w:vAlign w:val="center"/>
          </w:tcPr>
          <w:p>
            <w:pPr>
              <w:jc w:val="center"/>
              <w:rPr>
                <w:sz w:val="24"/>
              </w:rPr>
            </w:pPr>
            <w:r>
              <w:rPr>
                <w:rFonts w:hint="eastAsia"/>
                <w:sz w:val="24"/>
              </w:rPr>
              <w:t>3</w:t>
            </w:r>
          </w:p>
        </w:tc>
        <w:tc>
          <w:tcPr>
            <w:tcW w:w="831" w:type="pct"/>
            <w:tcBorders>
              <w:top w:val="single" w:color="auto" w:sz="2" w:space="0"/>
              <w:left w:val="single" w:color="auto" w:sz="4" w:space="0"/>
              <w:right w:val="single" w:color="auto" w:sz="2" w:space="0"/>
            </w:tcBorders>
            <w:shd w:val="clear" w:color="auto" w:fill="auto"/>
            <w:vAlign w:val="center"/>
          </w:tcPr>
          <w:p>
            <w:pPr>
              <w:jc w:val="center"/>
              <w:rPr>
                <w:sz w:val="24"/>
              </w:rPr>
            </w:pPr>
            <w:r>
              <w:rPr>
                <w:rFonts w:hint="eastAsia"/>
                <w:sz w:val="24"/>
              </w:rPr>
              <w:t>应急响应承诺</w:t>
            </w:r>
          </w:p>
        </w:tc>
        <w:tc>
          <w:tcPr>
            <w:tcW w:w="497" w:type="pct"/>
            <w:tcBorders>
              <w:top w:val="single" w:color="auto" w:sz="4" w:space="0"/>
              <w:left w:val="single" w:color="auto" w:sz="2" w:space="0"/>
              <w:right w:val="single" w:color="auto" w:sz="2" w:space="0"/>
            </w:tcBorders>
            <w:shd w:val="clear" w:color="auto" w:fill="auto"/>
            <w:vAlign w:val="center"/>
          </w:tcPr>
          <w:p>
            <w:pPr>
              <w:jc w:val="center"/>
              <w:rPr>
                <w:sz w:val="24"/>
              </w:rPr>
            </w:pPr>
            <w:r>
              <w:rPr>
                <w:rFonts w:hint="eastAsia"/>
                <w:sz w:val="24"/>
              </w:rPr>
              <w:t>3分</w:t>
            </w:r>
          </w:p>
        </w:tc>
        <w:tc>
          <w:tcPr>
            <w:tcW w:w="3274" w:type="pct"/>
            <w:tcBorders>
              <w:top w:val="single" w:color="auto" w:sz="4" w:space="0"/>
              <w:left w:val="single" w:color="auto" w:sz="4" w:space="0"/>
              <w:right w:val="single" w:color="auto" w:sz="2" w:space="0"/>
            </w:tcBorders>
            <w:shd w:val="clear" w:color="auto" w:fill="auto"/>
            <w:vAlign w:val="center"/>
          </w:tcPr>
          <w:p>
            <w:pPr>
              <w:ind w:firstLine="480" w:firstLineChars="200"/>
              <w:rPr>
                <w:sz w:val="24"/>
              </w:rPr>
            </w:pPr>
            <w:r>
              <w:rPr>
                <w:rFonts w:hint="eastAsia"/>
                <w:sz w:val="24"/>
              </w:rPr>
              <w:t>投标人在5*8小时外任何时间接到采购人应急服务通知后：①承诺1个小时（含）以内到达现场，得3分；②承诺1个小时（不含）以上2个小时（含）以内到达现场，得2分；③承诺2个小时（不含）以上到达现场，得1分；④未提供承诺不得分。</w:t>
            </w:r>
          </w:p>
          <w:p>
            <w:pPr>
              <w:ind w:firstLine="482" w:firstLineChars="200"/>
              <w:rPr>
                <w:b/>
                <w:sz w:val="24"/>
              </w:rPr>
            </w:pPr>
            <w:r>
              <w:rPr>
                <w:rFonts w:hint="eastAsia"/>
                <w:b/>
                <w:sz w:val="24"/>
              </w:rPr>
              <w:t>注：须提供承诺函并加盖投标人公章。</w:t>
            </w:r>
          </w:p>
        </w:tc>
      </w:tr>
    </w:tbl>
    <w:p>
      <w:pPr>
        <w:spacing w:line="440" w:lineRule="exact"/>
        <w:ind w:firstLine="480" w:firstLineChars="200"/>
        <w:rPr>
          <w:sz w:val="24"/>
        </w:rPr>
      </w:pPr>
    </w:p>
    <w:p>
      <w:pPr>
        <w:pStyle w:val="2"/>
        <w:ind w:firstLine="480"/>
        <w:rPr>
          <w:sz w:val="24"/>
        </w:rPr>
      </w:pPr>
    </w:p>
    <w:p>
      <w:pPr>
        <w:pStyle w:val="2"/>
        <w:ind w:firstLine="480"/>
        <w:rPr>
          <w:sz w:val="24"/>
        </w:rPr>
      </w:pPr>
    </w:p>
    <w:p>
      <w:pPr>
        <w:spacing w:line="440" w:lineRule="exact"/>
        <w:ind w:firstLine="482" w:firstLineChars="200"/>
        <w:rPr>
          <w:b/>
          <w:sz w:val="24"/>
        </w:rPr>
      </w:pPr>
      <w:r>
        <w:rPr>
          <w:rFonts w:hint="eastAsia"/>
          <w:b/>
          <w:sz w:val="24"/>
        </w:rPr>
        <w:t>三、技术部分（满分55分）</w:t>
      </w:r>
    </w:p>
    <w:tbl>
      <w:tblPr>
        <w:tblStyle w:val="4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75"/>
        <w:gridCol w:w="1417"/>
        <w:gridCol w:w="851"/>
        <w:gridCol w:w="55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396" w:type="pct"/>
            <w:tcBorders>
              <w:top w:val="single" w:color="auto" w:sz="2" w:space="0"/>
              <w:left w:val="single" w:color="auto" w:sz="2" w:space="0"/>
              <w:bottom w:val="single" w:color="auto" w:sz="2" w:space="0"/>
              <w:right w:val="single" w:color="auto" w:sz="4" w:space="0"/>
            </w:tcBorders>
            <w:shd w:val="clear" w:color="auto" w:fill="auto"/>
            <w:vAlign w:val="center"/>
          </w:tcPr>
          <w:p>
            <w:pPr>
              <w:jc w:val="center"/>
              <w:rPr>
                <w:b/>
                <w:sz w:val="24"/>
              </w:rPr>
            </w:pPr>
            <w:r>
              <w:rPr>
                <w:b/>
                <w:sz w:val="24"/>
              </w:rPr>
              <w:t>序号</w:t>
            </w:r>
          </w:p>
        </w:tc>
        <w:tc>
          <w:tcPr>
            <w:tcW w:w="831" w:type="pct"/>
            <w:tcBorders>
              <w:top w:val="single" w:color="auto" w:sz="2" w:space="0"/>
              <w:left w:val="single" w:color="auto" w:sz="4" w:space="0"/>
              <w:bottom w:val="single" w:color="auto" w:sz="2" w:space="0"/>
              <w:right w:val="single" w:color="auto" w:sz="2" w:space="0"/>
            </w:tcBorders>
            <w:shd w:val="clear" w:color="auto" w:fill="auto"/>
            <w:vAlign w:val="center"/>
          </w:tcPr>
          <w:p>
            <w:pPr>
              <w:jc w:val="center"/>
              <w:rPr>
                <w:b/>
                <w:sz w:val="24"/>
              </w:rPr>
            </w:pPr>
            <w:r>
              <w:rPr>
                <w:b/>
                <w:sz w:val="24"/>
              </w:rPr>
              <w:t>评审内容</w:t>
            </w:r>
          </w:p>
        </w:tc>
        <w:tc>
          <w:tcPr>
            <w:tcW w:w="499" w:type="pct"/>
            <w:tcBorders>
              <w:top w:val="single" w:color="auto" w:sz="4" w:space="0"/>
              <w:left w:val="single" w:color="auto" w:sz="2" w:space="0"/>
              <w:right w:val="single" w:color="auto" w:sz="2" w:space="0"/>
            </w:tcBorders>
            <w:shd w:val="clear" w:color="auto" w:fill="auto"/>
            <w:vAlign w:val="center"/>
          </w:tcPr>
          <w:p>
            <w:pPr>
              <w:jc w:val="center"/>
              <w:rPr>
                <w:b/>
                <w:sz w:val="24"/>
              </w:rPr>
            </w:pPr>
            <w:r>
              <w:rPr>
                <w:b/>
                <w:sz w:val="24"/>
              </w:rPr>
              <w:t>分值</w:t>
            </w:r>
          </w:p>
        </w:tc>
        <w:tc>
          <w:tcPr>
            <w:tcW w:w="3274" w:type="pct"/>
            <w:tcBorders>
              <w:top w:val="single" w:color="auto" w:sz="4" w:space="0"/>
              <w:left w:val="single" w:color="auto" w:sz="4" w:space="0"/>
              <w:right w:val="single" w:color="auto" w:sz="2" w:space="0"/>
            </w:tcBorders>
            <w:shd w:val="clear" w:color="auto" w:fill="auto"/>
            <w:vAlign w:val="center"/>
          </w:tcPr>
          <w:p>
            <w:pPr>
              <w:jc w:val="center"/>
              <w:rPr>
                <w:b/>
                <w:sz w:val="24"/>
              </w:rPr>
            </w:pPr>
            <w:r>
              <w:rPr>
                <w:b/>
                <w:sz w:val="24"/>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396" w:type="pct"/>
            <w:tcBorders>
              <w:top w:val="single" w:color="auto" w:sz="2" w:space="0"/>
              <w:left w:val="single" w:color="auto" w:sz="2" w:space="0"/>
              <w:bottom w:val="single" w:color="auto" w:sz="2" w:space="0"/>
              <w:right w:val="single" w:color="auto" w:sz="4" w:space="0"/>
            </w:tcBorders>
            <w:shd w:val="clear" w:color="auto" w:fill="auto"/>
            <w:vAlign w:val="center"/>
          </w:tcPr>
          <w:p>
            <w:pPr>
              <w:jc w:val="center"/>
              <w:rPr>
                <w:sz w:val="24"/>
              </w:rPr>
            </w:pPr>
            <w:r>
              <w:rPr>
                <w:rFonts w:hint="eastAsia"/>
                <w:sz w:val="24"/>
              </w:rPr>
              <w:t>1</w:t>
            </w:r>
          </w:p>
        </w:tc>
        <w:tc>
          <w:tcPr>
            <w:tcW w:w="831" w:type="pct"/>
            <w:tcBorders>
              <w:top w:val="single" w:color="auto" w:sz="2" w:space="0"/>
              <w:left w:val="single" w:color="auto" w:sz="4" w:space="0"/>
              <w:bottom w:val="single" w:color="auto" w:sz="2" w:space="0"/>
              <w:right w:val="single" w:color="auto" w:sz="2" w:space="0"/>
            </w:tcBorders>
            <w:shd w:val="clear" w:color="auto" w:fill="auto"/>
            <w:vAlign w:val="center"/>
          </w:tcPr>
          <w:p>
            <w:pPr>
              <w:jc w:val="center"/>
              <w:rPr>
                <w:sz w:val="24"/>
              </w:rPr>
            </w:pPr>
            <w:r>
              <w:rPr>
                <w:rFonts w:hint="eastAsia"/>
                <w:sz w:val="24"/>
              </w:rPr>
              <w:t>项目重点难点分析</w:t>
            </w:r>
          </w:p>
        </w:tc>
        <w:tc>
          <w:tcPr>
            <w:tcW w:w="499" w:type="pct"/>
            <w:tcBorders>
              <w:top w:val="single" w:color="auto" w:sz="4" w:space="0"/>
              <w:left w:val="single" w:color="auto" w:sz="2" w:space="0"/>
              <w:bottom w:val="single" w:color="auto" w:sz="4" w:space="0"/>
              <w:right w:val="single" w:color="auto" w:sz="2" w:space="0"/>
            </w:tcBorders>
            <w:shd w:val="clear" w:color="auto" w:fill="auto"/>
            <w:vAlign w:val="center"/>
          </w:tcPr>
          <w:p>
            <w:pPr>
              <w:jc w:val="center"/>
              <w:rPr>
                <w:sz w:val="24"/>
              </w:rPr>
            </w:pPr>
            <w:r>
              <w:rPr>
                <w:rFonts w:hint="eastAsia"/>
                <w:sz w:val="24"/>
              </w:rPr>
              <w:t>8分</w:t>
            </w:r>
          </w:p>
        </w:tc>
        <w:tc>
          <w:tcPr>
            <w:tcW w:w="3274" w:type="pct"/>
            <w:tcBorders>
              <w:top w:val="single" w:color="auto" w:sz="4" w:space="0"/>
              <w:left w:val="single" w:color="auto" w:sz="4" w:space="0"/>
              <w:bottom w:val="single" w:color="auto" w:sz="4" w:space="0"/>
              <w:right w:val="single" w:color="auto" w:sz="2" w:space="0"/>
            </w:tcBorders>
            <w:shd w:val="clear" w:color="auto" w:fill="auto"/>
            <w:vAlign w:val="center"/>
          </w:tcPr>
          <w:p>
            <w:pPr>
              <w:ind w:firstLine="480" w:firstLineChars="200"/>
              <w:rPr>
                <w:sz w:val="24"/>
              </w:rPr>
            </w:pPr>
            <w:r>
              <w:rPr>
                <w:rFonts w:hint="eastAsia"/>
                <w:sz w:val="24"/>
              </w:rPr>
              <w:t>对投标人根据用户需求书“技术服务要求”中“一、项目概况”提供的项目重点难点分析进行评分：</w:t>
            </w:r>
          </w:p>
          <w:p>
            <w:pPr>
              <w:ind w:firstLine="480" w:firstLineChars="200"/>
              <w:rPr>
                <w:sz w:val="24"/>
              </w:rPr>
            </w:pPr>
            <w:r>
              <w:rPr>
                <w:rFonts w:hint="eastAsia"/>
                <w:sz w:val="24"/>
              </w:rPr>
              <w:t>①对项目理解深刻，对项目重点、难点分析准确，应对措施完善，合理，可行性高，得8分；</w:t>
            </w:r>
          </w:p>
          <w:p>
            <w:pPr>
              <w:ind w:firstLine="480" w:firstLineChars="200"/>
              <w:rPr>
                <w:sz w:val="24"/>
              </w:rPr>
            </w:pPr>
            <w:r>
              <w:rPr>
                <w:rFonts w:hint="eastAsia"/>
                <w:sz w:val="24"/>
              </w:rPr>
              <w:t>②对项目理解较为充分，对项目重点、难点分析较为准确，应对措施具有一定可行性，得5分；</w:t>
            </w:r>
          </w:p>
          <w:p>
            <w:pPr>
              <w:ind w:firstLine="480" w:firstLineChars="200"/>
              <w:rPr>
                <w:sz w:val="24"/>
              </w:rPr>
            </w:pPr>
            <w:r>
              <w:rPr>
                <w:rFonts w:hint="eastAsia"/>
                <w:sz w:val="24"/>
              </w:rPr>
              <w:t>③对项目缺乏了解或应对措施缺乏合理性，得2分；</w:t>
            </w:r>
          </w:p>
          <w:p>
            <w:pPr>
              <w:ind w:firstLine="480" w:firstLineChars="200"/>
              <w:rPr>
                <w:sz w:val="24"/>
              </w:rPr>
            </w:pPr>
            <w:r>
              <w:rPr>
                <w:rFonts w:hint="eastAsia"/>
                <w:sz w:val="24"/>
              </w:rPr>
              <w:t>④未提供不得分。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396" w:type="pct"/>
            <w:tcBorders>
              <w:top w:val="single" w:color="auto" w:sz="2" w:space="0"/>
              <w:left w:val="single" w:color="auto" w:sz="2" w:space="0"/>
              <w:bottom w:val="single" w:color="auto" w:sz="2" w:space="0"/>
              <w:right w:val="single" w:color="auto" w:sz="4" w:space="0"/>
            </w:tcBorders>
            <w:shd w:val="clear" w:color="auto" w:fill="auto"/>
            <w:vAlign w:val="center"/>
          </w:tcPr>
          <w:p>
            <w:pPr>
              <w:jc w:val="center"/>
              <w:rPr>
                <w:sz w:val="24"/>
              </w:rPr>
            </w:pPr>
            <w:r>
              <w:rPr>
                <w:rFonts w:hint="eastAsia"/>
                <w:sz w:val="24"/>
              </w:rPr>
              <w:t>2</w:t>
            </w:r>
          </w:p>
        </w:tc>
        <w:tc>
          <w:tcPr>
            <w:tcW w:w="831" w:type="pct"/>
            <w:tcBorders>
              <w:top w:val="single" w:color="auto" w:sz="2" w:space="0"/>
              <w:left w:val="single" w:color="auto" w:sz="4" w:space="0"/>
              <w:bottom w:val="single" w:color="auto" w:sz="2" w:space="0"/>
              <w:right w:val="single" w:color="auto" w:sz="2" w:space="0"/>
            </w:tcBorders>
            <w:shd w:val="clear" w:color="auto" w:fill="auto"/>
            <w:vAlign w:val="center"/>
          </w:tcPr>
          <w:p>
            <w:pPr>
              <w:jc w:val="center"/>
              <w:rPr>
                <w:sz w:val="24"/>
              </w:rPr>
            </w:pPr>
            <w:r>
              <w:rPr>
                <w:rFonts w:hint="eastAsia"/>
                <w:sz w:val="24"/>
              </w:rPr>
              <w:t>项目目标达成制度</w:t>
            </w:r>
          </w:p>
        </w:tc>
        <w:tc>
          <w:tcPr>
            <w:tcW w:w="499" w:type="pct"/>
            <w:tcBorders>
              <w:top w:val="single" w:color="auto" w:sz="4" w:space="0"/>
              <w:left w:val="single" w:color="auto" w:sz="2" w:space="0"/>
              <w:bottom w:val="single" w:color="auto" w:sz="4" w:space="0"/>
              <w:right w:val="single" w:color="auto" w:sz="2" w:space="0"/>
            </w:tcBorders>
            <w:shd w:val="clear" w:color="auto" w:fill="auto"/>
            <w:vAlign w:val="center"/>
          </w:tcPr>
          <w:p>
            <w:pPr>
              <w:jc w:val="center"/>
              <w:rPr>
                <w:sz w:val="24"/>
              </w:rPr>
            </w:pPr>
            <w:r>
              <w:rPr>
                <w:rFonts w:hint="eastAsia"/>
                <w:sz w:val="24"/>
              </w:rPr>
              <w:t>8</w:t>
            </w:r>
            <w:r>
              <w:rPr>
                <w:sz w:val="24"/>
              </w:rPr>
              <w:t>分</w:t>
            </w:r>
          </w:p>
        </w:tc>
        <w:tc>
          <w:tcPr>
            <w:tcW w:w="3274" w:type="pct"/>
            <w:tcBorders>
              <w:top w:val="single" w:color="auto" w:sz="4" w:space="0"/>
              <w:left w:val="single" w:color="auto" w:sz="4" w:space="0"/>
              <w:bottom w:val="single" w:color="auto" w:sz="4" w:space="0"/>
              <w:right w:val="single" w:color="auto" w:sz="2" w:space="0"/>
            </w:tcBorders>
            <w:shd w:val="clear" w:color="auto" w:fill="auto"/>
            <w:vAlign w:val="center"/>
          </w:tcPr>
          <w:p>
            <w:pPr>
              <w:ind w:firstLine="480" w:firstLineChars="200"/>
              <w:rPr>
                <w:sz w:val="24"/>
              </w:rPr>
            </w:pPr>
            <w:r>
              <w:rPr>
                <w:rFonts w:hint="eastAsia"/>
                <w:sz w:val="24"/>
              </w:rPr>
              <w:t>对投标人根据用户需求书“技术服务要求”中“二、项目目标”提供的项目目标达成制度进行评分：</w:t>
            </w:r>
          </w:p>
          <w:p>
            <w:pPr>
              <w:ind w:firstLine="480" w:firstLineChars="200"/>
              <w:rPr>
                <w:sz w:val="24"/>
              </w:rPr>
            </w:pPr>
            <w:r>
              <w:rPr>
                <w:rFonts w:hint="eastAsia"/>
                <w:sz w:val="24"/>
              </w:rPr>
              <w:t>①制度齐全完善，科学合理，可行性高，得8分；</w:t>
            </w:r>
          </w:p>
          <w:p>
            <w:pPr>
              <w:ind w:firstLine="480" w:firstLineChars="200"/>
              <w:rPr>
                <w:sz w:val="24"/>
              </w:rPr>
            </w:pPr>
            <w:r>
              <w:rPr>
                <w:rFonts w:hint="eastAsia"/>
                <w:sz w:val="24"/>
              </w:rPr>
              <w:t>②制度基本完整合理，具有一定可行性，得5分；</w:t>
            </w:r>
          </w:p>
          <w:p>
            <w:pPr>
              <w:ind w:firstLine="480" w:firstLineChars="200"/>
              <w:rPr>
                <w:sz w:val="24"/>
              </w:rPr>
            </w:pPr>
            <w:r>
              <w:rPr>
                <w:rFonts w:hint="eastAsia"/>
                <w:sz w:val="24"/>
              </w:rPr>
              <w:t>③制度缺乏合理性，得2分；</w:t>
            </w:r>
          </w:p>
          <w:p>
            <w:pPr>
              <w:ind w:firstLine="480" w:firstLineChars="200"/>
              <w:rPr>
                <w:sz w:val="24"/>
              </w:rPr>
            </w:pPr>
            <w:r>
              <w:rPr>
                <w:rFonts w:hint="eastAsia"/>
                <w:sz w:val="24"/>
              </w:rPr>
              <w:t>④未提供不得分。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44" w:hRule="atLeast"/>
          <w:jc w:val="center"/>
        </w:trPr>
        <w:tc>
          <w:tcPr>
            <w:tcW w:w="396" w:type="pct"/>
            <w:tcBorders>
              <w:top w:val="single" w:color="auto" w:sz="2" w:space="0"/>
              <w:left w:val="single" w:color="auto" w:sz="2" w:space="0"/>
              <w:right w:val="single" w:color="auto" w:sz="4" w:space="0"/>
            </w:tcBorders>
            <w:shd w:val="clear" w:color="auto" w:fill="auto"/>
            <w:vAlign w:val="center"/>
          </w:tcPr>
          <w:p>
            <w:pPr>
              <w:jc w:val="center"/>
              <w:rPr>
                <w:sz w:val="24"/>
              </w:rPr>
            </w:pPr>
            <w:r>
              <w:rPr>
                <w:sz w:val="24"/>
              </w:rPr>
              <w:t>3</w:t>
            </w:r>
          </w:p>
        </w:tc>
        <w:tc>
          <w:tcPr>
            <w:tcW w:w="831" w:type="pct"/>
            <w:tcBorders>
              <w:top w:val="single" w:color="auto" w:sz="2" w:space="0"/>
              <w:left w:val="single" w:color="auto" w:sz="4" w:space="0"/>
              <w:right w:val="single" w:color="auto" w:sz="2" w:space="0"/>
            </w:tcBorders>
            <w:shd w:val="clear" w:color="auto" w:fill="auto"/>
            <w:vAlign w:val="center"/>
          </w:tcPr>
          <w:p>
            <w:pPr>
              <w:jc w:val="center"/>
              <w:rPr>
                <w:sz w:val="24"/>
              </w:rPr>
            </w:pPr>
            <w:r>
              <w:rPr>
                <w:rFonts w:hint="eastAsia"/>
                <w:sz w:val="24"/>
              </w:rPr>
              <w:t>总体实施方案</w:t>
            </w:r>
          </w:p>
        </w:tc>
        <w:tc>
          <w:tcPr>
            <w:tcW w:w="499" w:type="pct"/>
            <w:tcBorders>
              <w:top w:val="single" w:color="auto" w:sz="4" w:space="0"/>
              <w:left w:val="single" w:color="auto" w:sz="2" w:space="0"/>
              <w:right w:val="single" w:color="auto" w:sz="2" w:space="0"/>
            </w:tcBorders>
            <w:shd w:val="clear" w:color="auto" w:fill="auto"/>
            <w:vAlign w:val="center"/>
          </w:tcPr>
          <w:p>
            <w:pPr>
              <w:jc w:val="center"/>
              <w:rPr>
                <w:sz w:val="24"/>
              </w:rPr>
            </w:pPr>
            <w:r>
              <w:rPr>
                <w:rFonts w:hint="eastAsia"/>
                <w:sz w:val="24"/>
              </w:rPr>
              <w:t>8分</w:t>
            </w:r>
          </w:p>
        </w:tc>
        <w:tc>
          <w:tcPr>
            <w:tcW w:w="3274" w:type="pct"/>
            <w:tcBorders>
              <w:top w:val="single" w:color="auto" w:sz="4" w:space="0"/>
              <w:left w:val="single" w:color="auto" w:sz="4" w:space="0"/>
              <w:right w:val="single" w:color="auto" w:sz="2" w:space="0"/>
            </w:tcBorders>
            <w:shd w:val="clear" w:color="auto" w:fill="auto"/>
            <w:vAlign w:val="center"/>
          </w:tcPr>
          <w:p>
            <w:pPr>
              <w:ind w:firstLine="480" w:firstLineChars="200"/>
              <w:rPr>
                <w:sz w:val="24"/>
              </w:rPr>
            </w:pPr>
            <w:r>
              <w:rPr>
                <w:rFonts w:hint="eastAsia"/>
                <w:sz w:val="24"/>
              </w:rPr>
              <w:t>对投标人根据用户需求书“技术服务要求”中“三、项目需求”提供的总体实施方案进行评分：</w:t>
            </w:r>
          </w:p>
          <w:p>
            <w:pPr>
              <w:ind w:firstLine="480" w:firstLineChars="200"/>
              <w:rPr>
                <w:sz w:val="24"/>
              </w:rPr>
            </w:pPr>
            <w:r>
              <w:rPr>
                <w:rFonts w:hint="eastAsia"/>
                <w:sz w:val="24"/>
              </w:rPr>
              <w:t>①方案齐全完善，科学合理，可行性高，得8分；</w:t>
            </w:r>
          </w:p>
          <w:p>
            <w:pPr>
              <w:ind w:firstLine="480" w:firstLineChars="200"/>
              <w:rPr>
                <w:sz w:val="24"/>
              </w:rPr>
            </w:pPr>
            <w:r>
              <w:rPr>
                <w:rFonts w:hint="eastAsia"/>
                <w:sz w:val="24"/>
              </w:rPr>
              <w:t>②方案基本完整合理，具有一定可行性，得5分；</w:t>
            </w:r>
          </w:p>
          <w:p>
            <w:pPr>
              <w:ind w:firstLine="480" w:firstLineChars="200"/>
              <w:rPr>
                <w:sz w:val="24"/>
              </w:rPr>
            </w:pPr>
            <w:r>
              <w:rPr>
                <w:rFonts w:hint="eastAsia"/>
                <w:sz w:val="24"/>
              </w:rPr>
              <w:t>③方案缺乏合理性，得2分；</w:t>
            </w:r>
          </w:p>
          <w:p>
            <w:pPr>
              <w:ind w:firstLine="480" w:firstLineChars="200"/>
              <w:rPr>
                <w:sz w:val="24"/>
              </w:rPr>
            </w:pPr>
            <w:r>
              <w:rPr>
                <w:rFonts w:hint="eastAsia"/>
                <w:sz w:val="24"/>
              </w:rPr>
              <w:t>④未提供不得分。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jc w:val="center"/>
        </w:trPr>
        <w:tc>
          <w:tcPr>
            <w:tcW w:w="396" w:type="pct"/>
            <w:tcBorders>
              <w:top w:val="single" w:color="auto" w:sz="2" w:space="0"/>
              <w:left w:val="single" w:color="auto" w:sz="2" w:space="0"/>
              <w:right w:val="single" w:color="auto" w:sz="4" w:space="0"/>
            </w:tcBorders>
            <w:shd w:val="clear" w:color="auto" w:fill="auto"/>
            <w:vAlign w:val="center"/>
          </w:tcPr>
          <w:p>
            <w:pPr>
              <w:jc w:val="center"/>
              <w:rPr>
                <w:sz w:val="24"/>
              </w:rPr>
            </w:pPr>
            <w:r>
              <w:rPr>
                <w:rFonts w:hint="eastAsia"/>
                <w:sz w:val="24"/>
              </w:rPr>
              <w:t>4</w:t>
            </w:r>
          </w:p>
        </w:tc>
        <w:tc>
          <w:tcPr>
            <w:tcW w:w="831" w:type="pct"/>
            <w:tcBorders>
              <w:top w:val="single" w:color="auto" w:sz="2" w:space="0"/>
              <w:left w:val="single" w:color="auto" w:sz="4" w:space="0"/>
              <w:right w:val="single" w:color="auto" w:sz="2" w:space="0"/>
            </w:tcBorders>
            <w:shd w:val="clear" w:color="auto" w:fill="auto"/>
            <w:vAlign w:val="center"/>
          </w:tcPr>
          <w:p>
            <w:pPr>
              <w:jc w:val="center"/>
              <w:rPr>
                <w:sz w:val="24"/>
              </w:rPr>
            </w:pPr>
            <w:r>
              <w:rPr>
                <w:rFonts w:hint="eastAsia"/>
                <w:sz w:val="24"/>
              </w:rPr>
              <w:t>服务保障措施</w:t>
            </w:r>
          </w:p>
        </w:tc>
        <w:tc>
          <w:tcPr>
            <w:tcW w:w="499" w:type="pct"/>
            <w:tcBorders>
              <w:top w:val="single" w:color="auto" w:sz="4" w:space="0"/>
              <w:left w:val="single" w:color="auto" w:sz="2" w:space="0"/>
              <w:right w:val="single" w:color="auto" w:sz="2" w:space="0"/>
            </w:tcBorders>
            <w:shd w:val="clear" w:color="auto" w:fill="auto"/>
            <w:vAlign w:val="center"/>
          </w:tcPr>
          <w:p>
            <w:pPr>
              <w:jc w:val="center"/>
              <w:rPr>
                <w:sz w:val="24"/>
              </w:rPr>
            </w:pPr>
            <w:r>
              <w:rPr>
                <w:rFonts w:hint="eastAsia"/>
                <w:sz w:val="24"/>
              </w:rPr>
              <w:t>8分</w:t>
            </w:r>
          </w:p>
        </w:tc>
        <w:tc>
          <w:tcPr>
            <w:tcW w:w="3274" w:type="pct"/>
            <w:tcBorders>
              <w:top w:val="single" w:color="auto" w:sz="4" w:space="0"/>
              <w:left w:val="single" w:color="auto" w:sz="4" w:space="0"/>
              <w:right w:val="single" w:color="auto" w:sz="2" w:space="0"/>
            </w:tcBorders>
            <w:shd w:val="clear" w:color="auto" w:fill="auto"/>
            <w:vAlign w:val="center"/>
          </w:tcPr>
          <w:p>
            <w:pPr>
              <w:ind w:firstLine="480" w:firstLineChars="200"/>
              <w:rPr>
                <w:sz w:val="24"/>
              </w:rPr>
            </w:pPr>
            <w:r>
              <w:rPr>
                <w:rFonts w:hint="eastAsia"/>
                <w:sz w:val="24"/>
              </w:rPr>
              <w:t>对投标人根据用户需求书“技术服务要求”中“四、实施要求”中“（二）服务保障要求”提供的服务保障措施进行评分：</w:t>
            </w:r>
          </w:p>
          <w:p>
            <w:pPr>
              <w:ind w:firstLine="480" w:firstLineChars="200"/>
              <w:rPr>
                <w:sz w:val="24"/>
              </w:rPr>
            </w:pPr>
            <w:r>
              <w:rPr>
                <w:rFonts w:hint="eastAsia"/>
                <w:sz w:val="24"/>
              </w:rPr>
              <w:t>①措施齐全完善，科学合理，可行性高，得8分；</w:t>
            </w:r>
          </w:p>
          <w:p>
            <w:pPr>
              <w:ind w:firstLine="480" w:firstLineChars="200"/>
              <w:rPr>
                <w:sz w:val="24"/>
              </w:rPr>
            </w:pPr>
            <w:r>
              <w:rPr>
                <w:rFonts w:hint="eastAsia"/>
                <w:sz w:val="24"/>
              </w:rPr>
              <w:t>②措施基本完整合理，具有一定可行性，得5分；</w:t>
            </w:r>
          </w:p>
          <w:p>
            <w:pPr>
              <w:ind w:firstLine="480" w:firstLineChars="200"/>
              <w:rPr>
                <w:sz w:val="24"/>
              </w:rPr>
            </w:pPr>
            <w:r>
              <w:rPr>
                <w:rFonts w:hint="eastAsia"/>
                <w:sz w:val="24"/>
              </w:rPr>
              <w:t>③措施缺乏合理性，得2分；</w:t>
            </w:r>
          </w:p>
          <w:p>
            <w:pPr>
              <w:ind w:firstLine="480" w:firstLineChars="200"/>
              <w:rPr>
                <w:sz w:val="24"/>
              </w:rPr>
            </w:pPr>
            <w:r>
              <w:rPr>
                <w:rFonts w:hint="eastAsia"/>
                <w:sz w:val="24"/>
              </w:rPr>
              <w:t>④未提供不得分。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 w:hRule="atLeast"/>
          <w:jc w:val="center"/>
        </w:trPr>
        <w:tc>
          <w:tcPr>
            <w:tcW w:w="396" w:type="pct"/>
            <w:tcBorders>
              <w:top w:val="single" w:color="auto" w:sz="2" w:space="0"/>
              <w:left w:val="single" w:color="auto" w:sz="2" w:space="0"/>
              <w:right w:val="single" w:color="auto" w:sz="4" w:space="0"/>
            </w:tcBorders>
            <w:shd w:val="clear" w:color="auto" w:fill="auto"/>
            <w:vAlign w:val="center"/>
          </w:tcPr>
          <w:p>
            <w:pPr>
              <w:jc w:val="center"/>
              <w:rPr>
                <w:sz w:val="24"/>
              </w:rPr>
            </w:pPr>
            <w:r>
              <w:rPr>
                <w:sz w:val="24"/>
              </w:rPr>
              <w:t>5</w:t>
            </w:r>
          </w:p>
        </w:tc>
        <w:tc>
          <w:tcPr>
            <w:tcW w:w="831" w:type="pct"/>
            <w:tcBorders>
              <w:top w:val="single" w:color="auto" w:sz="2" w:space="0"/>
              <w:left w:val="single" w:color="auto" w:sz="4" w:space="0"/>
              <w:right w:val="single" w:color="auto" w:sz="2" w:space="0"/>
            </w:tcBorders>
            <w:shd w:val="clear" w:color="auto" w:fill="auto"/>
            <w:vAlign w:val="center"/>
          </w:tcPr>
          <w:p>
            <w:pPr>
              <w:jc w:val="center"/>
              <w:rPr>
                <w:sz w:val="24"/>
              </w:rPr>
            </w:pPr>
            <w:r>
              <w:rPr>
                <w:rFonts w:hint="eastAsia"/>
                <w:sz w:val="24"/>
              </w:rPr>
              <w:t>培训方案</w:t>
            </w:r>
          </w:p>
        </w:tc>
        <w:tc>
          <w:tcPr>
            <w:tcW w:w="499" w:type="pct"/>
            <w:tcBorders>
              <w:top w:val="single" w:color="auto" w:sz="4" w:space="0"/>
              <w:left w:val="single" w:color="auto" w:sz="2" w:space="0"/>
              <w:right w:val="single" w:color="auto" w:sz="2" w:space="0"/>
            </w:tcBorders>
            <w:shd w:val="clear" w:color="auto" w:fill="auto"/>
            <w:vAlign w:val="center"/>
          </w:tcPr>
          <w:p>
            <w:pPr>
              <w:jc w:val="center"/>
              <w:rPr>
                <w:sz w:val="24"/>
              </w:rPr>
            </w:pPr>
            <w:r>
              <w:rPr>
                <w:rFonts w:hint="eastAsia"/>
                <w:sz w:val="24"/>
              </w:rPr>
              <w:t>8</w:t>
            </w:r>
            <w:r>
              <w:rPr>
                <w:sz w:val="24"/>
              </w:rPr>
              <w:t>分</w:t>
            </w:r>
          </w:p>
        </w:tc>
        <w:tc>
          <w:tcPr>
            <w:tcW w:w="3274" w:type="pct"/>
            <w:tcBorders>
              <w:top w:val="single" w:color="auto" w:sz="4" w:space="0"/>
              <w:left w:val="single" w:color="auto" w:sz="4" w:space="0"/>
              <w:right w:val="single" w:color="auto" w:sz="2" w:space="0"/>
            </w:tcBorders>
            <w:shd w:val="clear" w:color="auto" w:fill="auto"/>
            <w:vAlign w:val="center"/>
          </w:tcPr>
          <w:p>
            <w:pPr>
              <w:ind w:firstLine="480" w:firstLineChars="200"/>
              <w:rPr>
                <w:sz w:val="24"/>
              </w:rPr>
            </w:pPr>
            <w:r>
              <w:rPr>
                <w:rFonts w:hint="eastAsia"/>
                <w:sz w:val="24"/>
              </w:rPr>
              <w:t>对投标人根据用户需求书“技术服务要求”中“四、实施要求”中“（三）培训要求”提供的培训方案进行评分：</w:t>
            </w:r>
          </w:p>
          <w:p>
            <w:pPr>
              <w:ind w:firstLine="480" w:firstLineChars="200"/>
              <w:rPr>
                <w:sz w:val="24"/>
              </w:rPr>
            </w:pPr>
            <w:r>
              <w:rPr>
                <w:rFonts w:hint="eastAsia"/>
                <w:sz w:val="24"/>
              </w:rPr>
              <w:t xml:space="preserve">①方案齐全完善，科学合理，可行性高，得8分； </w:t>
            </w:r>
          </w:p>
          <w:p>
            <w:pPr>
              <w:ind w:firstLine="480" w:firstLineChars="200"/>
              <w:rPr>
                <w:sz w:val="24"/>
              </w:rPr>
            </w:pPr>
            <w:r>
              <w:rPr>
                <w:rFonts w:hint="eastAsia"/>
                <w:sz w:val="24"/>
              </w:rPr>
              <w:t>②方案基本完整合理，具有一定可行性，得5分；</w:t>
            </w:r>
          </w:p>
          <w:p>
            <w:pPr>
              <w:ind w:firstLine="480" w:firstLineChars="200"/>
              <w:rPr>
                <w:sz w:val="24"/>
              </w:rPr>
            </w:pPr>
            <w:r>
              <w:rPr>
                <w:rFonts w:hint="eastAsia"/>
                <w:sz w:val="24"/>
              </w:rPr>
              <w:t>③方案缺乏合理性，得2分；</w:t>
            </w:r>
          </w:p>
          <w:p>
            <w:pPr>
              <w:ind w:firstLine="480" w:firstLineChars="200"/>
              <w:rPr>
                <w:sz w:val="24"/>
              </w:rPr>
            </w:pPr>
            <w:r>
              <w:rPr>
                <w:rFonts w:hint="eastAsia"/>
                <w:sz w:val="24"/>
              </w:rPr>
              <w:t>④未提供不得分。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 w:hRule="atLeast"/>
          <w:jc w:val="center"/>
        </w:trPr>
        <w:tc>
          <w:tcPr>
            <w:tcW w:w="396" w:type="pct"/>
            <w:tcBorders>
              <w:top w:val="single" w:color="auto" w:sz="2" w:space="0"/>
              <w:left w:val="single" w:color="auto" w:sz="2" w:space="0"/>
              <w:right w:val="single" w:color="auto" w:sz="4" w:space="0"/>
            </w:tcBorders>
            <w:shd w:val="clear" w:color="auto" w:fill="auto"/>
            <w:vAlign w:val="center"/>
          </w:tcPr>
          <w:p>
            <w:pPr>
              <w:jc w:val="center"/>
              <w:rPr>
                <w:sz w:val="24"/>
              </w:rPr>
            </w:pPr>
            <w:r>
              <w:rPr>
                <w:sz w:val="24"/>
              </w:rPr>
              <w:t>6</w:t>
            </w:r>
          </w:p>
        </w:tc>
        <w:tc>
          <w:tcPr>
            <w:tcW w:w="831" w:type="pct"/>
            <w:tcBorders>
              <w:top w:val="single" w:color="auto" w:sz="2" w:space="0"/>
              <w:left w:val="single" w:color="auto" w:sz="4" w:space="0"/>
              <w:right w:val="single" w:color="auto" w:sz="2" w:space="0"/>
            </w:tcBorders>
            <w:shd w:val="clear" w:color="auto" w:fill="auto"/>
            <w:vAlign w:val="center"/>
          </w:tcPr>
          <w:p>
            <w:pPr>
              <w:jc w:val="center"/>
              <w:rPr>
                <w:sz w:val="24"/>
              </w:rPr>
            </w:pPr>
            <w:r>
              <w:rPr>
                <w:rFonts w:hint="eastAsia"/>
                <w:sz w:val="24"/>
              </w:rPr>
              <w:t>考核管理制度</w:t>
            </w:r>
          </w:p>
        </w:tc>
        <w:tc>
          <w:tcPr>
            <w:tcW w:w="499" w:type="pct"/>
            <w:tcBorders>
              <w:top w:val="single" w:color="auto" w:sz="4" w:space="0"/>
              <w:left w:val="single" w:color="auto" w:sz="2" w:space="0"/>
              <w:right w:val="single" w:color="auto" w:sz="2" w:space="0"/>
            </w:tcBorders>
            <w:shd w:val="clear" w:color="auto" w:fill="auto"/>
            <w:vAlign w:val="center"/>
          </w:tcPr>
          <w:p>
            <w:pPr>
              <w:snapToGrid w:val="0"/>
              <w:spacing w:before="48" w:beforeLines="20"/>
              <w:jc w:val="center"/>
              <w:rPr>
                <w:sz w:val="24"/>
              </w:rPr>
            </w:pPr>
            <w:r>
              <w:rPr>
                <w:rFonts w:hint="eastAsia"/>
                <w:sz w:val="24"/>
              </w:rPr>
              <w:t>8</w:t>
            </w:r>
            <w:r>
              <w:rPr>
                <w:sz w:val="24"/>
              </w:rPr>
              <w:t>分</w:t>
            </w:r>
          </w:p>
        </w:tc>
        <w:tc>
          <w:tcPr>
            <w:tcW w:w="3274" w:type="pct"/>
            <w:tcBorders>
              <w:top w:val="single" w:color="auto" w:sz="4" w:space="0"/>
              <w:left w:val="single" w:color="auto" w:sz="4" w:space="0"/>
              <w:right w:val="single" w:color="auto" w:sz="2" w:space="0"/>
            </w:tcBorders>
            <w:shd w:val="clear" w:color="auto" w:fill="auto"/>
            <w:vAlign w:val="center"/>
          </w:tcPr>
          <w:p>
            <w:pPr>
              <w:ind w:firstLine="480" w:firstLineChars="200"/>
              <w:rPr>
                <w:sz w:val="24"/>
              </w:rPr>
            </w:pPr>
            <w:r>
              <w:rPr>
                <w:rFonts w:hint="eastAsia"/>
                <w:sz w:val="24"/>
              </w:rPr>
              <w:t>对投标人根据用户需求书“技术服务要求”中“六、服务考核要求”及“平台服务考核评分标准”提供的考核管理制度进行评分：</w:t>
            </w:r>
          </w:p>
          <w:p>
            <w:pPr>
              <w:ind w:firstLine="480" w:firstLineChars="200"/>
              <w:rPr>
                <w:sz w:val="24"/>
              </w:rPr>
            </w:pPr>
            <w:r>
              <w:rPr>
                <w:rFonts w:hint="eastAsia"/>
                <w:sz w:val="24"/>
              </w:rPr>
              <w:t>①制度齐全完善，科学合理，可行性高，得8分；</w:t>
            </w:r>
          </w:p>
          <w:p>
            <w:pPr>
              <w:ind w:firstLine="480" w:firstLineChars="200"/>
              <w:rPr>
                <w:sz w:val="24"/>
              </w:rPr>
            </w:pPr>
            <w:r>
              <w:rPr>
                <w:rFonts w:hint="eastAsia"/>
                <w:sz w:val="24"/>
              </w:rPr>
              <w:t>②制度基本完整合理，具有一定可行性，得5分；</w:t>
            </w:r>
          </w:p>
          <w:p>
            <w:pPr>
              <w:ind w:firstLine="480" w:firstLineChars="200"/>
              <w:rPr>
                <w:sz w:val="24"/>
              </w:rPr>
            </w:pPr>
            <w:r>
              <w:rPr>
                <w:rFonts w:hint="eastAsia"/>
                <w:sz w:val="24"/>
              </w:rPr>
              <w:t>③制度缺乏合理性，得2分；</w:t>
            </w:r>
          </w:p>
          <w:p>
            <w:pPr>
              <w:ind w:firstLine="480" w:firstLineChars="200"/>
              <w:rPr>
                <w:sz w:val="24"/>
              </w:rPr>
            </w:pPr>
            <w:r>
              <w:rPr>
                <w:rFonts w:hint="eastAsia"/>
                <w:sz w:val="24"/>
              </w:rPr>
              <w:t>④未提供不得分。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 w:hRule="atLeast"/>
          <w:jc w:val="center"/>
        </w:trPr>
        <w:tc>
          <w:tcPr>
            <w:tcW w:w="396" w:type="pct"/>
            <w:tcBorders>
              <w:top w:val="single" w:color="auto" w:sz="2" w:space="0"/>
              <w:left w:val="single" w:color="auto" w:sz="2" w:space="0"/>
              <w:right w:val="single" w:color="auto" w:sz="4" w:space="0"/>
            </w:tcBorders>
            <w:shd w:val="clear" w:color="auto" w:fill="auto"/>
            <w:vAlign w:val="center"/>
          </w:tcPr>
          <w:p>
            <w:pPr>
              <w:jc w:val="center"/>
              <w:rPr>
                <w:sz w:val="24"/>
              </w:rPr>
            </w:pPr>
            <w:r>
              <w:rPr>
                <w:sz w:val="24"/>
              </w:rPr>
              <w:t>7</w:t>
            </w:r>
          </w:p>
        </w:tc>
        <w:tc>
          <w:tcPr>
            <w:tcW w:w="831" w:type="pct"/>
            <w:tcBorders>
              <w:top w:val="single" w:color="auto" w:sz="2" w:space="0"/>
              <w:left w:val="single" w:color="auto" w:sz="4" w:space="0"/>
              <w:right w:val="single" w:color="auto" w:sz="2" w:space="0"/>
            </w:tcBorders>
            <w:shd w:val="clear" w:color="auto" w:fill="auto"/>
            <w:vAlign w:val="center"/>
          </w:tcPr>
          <w:p>
            <w:pPr>
              <w:jc w:val="center"/>
              <w:rPr>
                <w:sz w:val="24"/>
              </w:rPr>
            </w:pPr>
            <w:r>
              <w:rPr>
                <w:rFonts w:hint="eastAsia"/>
                <w:sz w:val="24"/>
              </w:rPr>
              <w:t>验收方案</w:t>
            </w:r>
          </w:p>
        </w:tc>
        <w:tc>
          <w:tcPr>
            <w:tcW w:w="499" w:type="pct"/>
            <w:tcBorders>
              <w:top w:val="single" w:color="auto" w:sz="4" w:space="0"/>
              <w:left w:val="single" w:color="auto" w:sz="2" w:space="0"/>
              <w:right w:val="single" w:color="auto" w:sz="2" w:space="0"/>
            </w:tcBorders>
            <w:shd w:val="clear" w:color="auto" w:fill="auto"/>
            <w:vAlign w:val="center"/>
          </w:tcPr>
          <w:p>
            <w:pPr>
              <w:snapToGrid w:val="0"/>
              <w:spacing w:before="48" w:beforeLines="20"/>
              <w:jc w:val="center"/>
              <w:rPr>
                <w:sz w:val="24"/>
              </w:rPr>
            </w:pPr>
            <w:r>
              <w:rPr>
                <w:rFonts w:hint="eastAsia"/>
                <w:sz w:val="24"/>
              </w:rPr>
              <w:t>7</w:t>
            </w:r>
            <w:r>
              <w:rPr>
                <w:sz w:val="24"/>
              </w:rPr>
              <w:t>分</w:t>
            </w:r>
          </w:p>
        </w:tc>
        <w:tc>
          <w:tcPr>
            <w:tcW w:w="3274" w:type="pct"/>
            <w:tcBorders>
              <w:top w:val="single" w:color="auto" w:sz="4" w:space="0"/>
              <w:left w:val="single" w:color="auto" w:sz="4" w:space="0"/>
              <w:right w:val="single" w:color="auto" w:sz="2" w:space="0"/>
            </w:tcBorders>
            <w:shd w:val="clear" w:color="auto" w:fill="auto"/>
            <w:vAlign w:val="center"/>
          </w:tcPr>
          <w:p>
            <w:pPr>
              <w:ind w:firstLine="480" w:firstLineChars="200"/>
              <w:rPr>
                <w:sz w:val="24"/>
              </w:rPr>
            </w:pPr>
            <w:r>
              <w:rPr>
                <w:rFonts w:hint="eastAsia"/>
                <w:sz w:val="24"/>
              </w:rPr>
              <w:t>对投标人根据用户需求书“技术服务要求”中“五、验收方式”提供的验收方案进行评分：</w:t>
            </w:r>
          </w:p>
          <w:p>
            <w:pPr>
              <w:ind w:firstLine="480" w:firstLineChars="200"/>
              <w:rPr>
                <w:sz w:val="24"/>
              </w:rPr>
            </w:pPr>
            <w:r>
              <w:rPr>
                <w:rFonts w:hint="eastAsia"/>
                <w:sz w:val="24"/>
              </w:rPr>
              <w:t>①方案齐全完善，科学合理，可行性高，得7分；</w:t>
            </w:r>
          </w:p>
          <w:p>
            <w:pPr>
              <w:ind w:firstLine="480" w:firstLineChars="200"/>
              <w:rPr>
                <w:sz w:val="24"/>
              </w:rPr>
            </w:pPr>
            <w:r>
              <w:rPr>
                <w:rFonts w:hint="eastAsia"/>
                <w:sz w:val="24"/>
              </w:rPr>
              <w:t>②方案基本完整合理，具有一定可行性，得4分；</w:t>
            </w:r>
          </w:p>
          <w:p>
            <w:pPr>
              <w:ind w:firstLine="480" w:firstLineChars="200"/>
              <w:rPr>
                <w:sz w:val="24"/>
              </w:rPr>
            </w:pPr>
            <w:r>
              <w:rPr>
                <w:rFonts w:hint="eastAsia"/>
                <w:sz w:val="24"/>
              </w:rPr>
              <w:t>③方案缺乏合理性，得1分；</w:t>
            </w:r>
          </w:p>
          <w:p>
            <w:pPr>
              <w:ind w:firstLine="480" w:firstLineChars="200"/>
              <w:rPr>
                <w:sz w:val="24"/>
              </w:rPr>
            </w:pPr>
            <w:r>
              <w:rPr>
                <w:rFonts w:hint="eastAsia"/>
                <w:sz w:val="24"/>
              </w:rPr>
              <w:t>④未提供不得分。</w:t>
            </w:r>
          </w:p>
        </w:tc>
      </w:tr>
    </w:tbl>
    <w:p>
      <w:pPr>
        <w:spacing w:line="440" w:lineRule="exact"/>
        <w:ind w:firstLine="480" w:firstLineChars="200"/>
        <w:rPr>
          <w:sz w:val="24"/>
        </w:rPr>
      </w:pPr>
    </w:p>
    <w:p>
      <w:pPr>
        <w:spacing w:line="440" w:lineRule="exact"/>
        <w:rPr>
          <w:b/>
          <w:szCs w:val="21"/>
        </w:rPr>
      </w:pPr>
      <w:r>
        <w:rPr>
          <w:rFonts w:hint="eastAsia"/>
          <w:b/>
          <w:szCs w:val="21"/>
        </w:rPr>
        <w:t>注：以上部分证明文件在投标文件中需按要求提供复印件并加盖投标人公章，若中标将在发放中标通知书前逐一核对核查原件，请勿提供虚假材料，否则将依据相关规定严肃处理。</w:t>
      </w:r>
    </w:p>
    <w:p>
      <w:pPr>
        <w:spacing w:line="440" w:lineRule="exact"/>
        <w:rPr>
          <w:rFonts w:eastAsia="黑体"/>
          <w:b/>
          <w:bCs/>
          <w:sz w:val="36"/>
        </w:rPr>
      </w:pPr>
      <w:r>
        <w:rPr>
          <w:rFonts w:eastAsia="黑体"/>
          <w:b/>
          <w:bCs/>
          <w:sz w:val="36"/>
        </w:rPr>
        <w:br w:type="page"/>
      </w: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jc w:val="center"/>
        <w:outlineLvl w:val="0"/>
        <w:rPr>
          <w:rFonts w:eastAsia="黑体"/>
          <w:b/>
          <w:bCs/>
          <w:sz w:val="72"/>
          <w:szCs w:val="72"/>
        </w:rPr>
      </w:pPr>
      <w:bookmarkStart w:id="14" w:name="_Toc10124624"/>
      <w:bookmarkStart w:id="15" w:name="_Toc170229627"/>
      <w:r>
        <w:rPr>
          <w:rFonts w:hint="eastAsia" w:eastAsia="黑体"/>
          <w:b/>
          <w:bCs/>
          <w:sz w:val="72"/>
          <w:szCs w:val="72"/>
        </w:rPr>
        <w:t>第二册</w:t>
      </w:r>
      <w:bookmarkEnd w:id="14"/>
      <w:bookmarkEnd w:id="15"/>
    </w:p>
    <w:p>
      <w:pPr>
        <w:spacing w:line="440" w:lineRule="exact"/>
        <w:jc w:val="center"/>
        <w:rPr>
          <w:rFonts w:eastAsia="黑体"/>
          <w:b/>
          <w:bCs/>
          <w:sz w:val="36"/>
        </w:rPr>
      </w:pPr>
      <w:r>
        <w:rPr>
          <w:b/>
          <w:bCs/>
          <w:sz w:val="44"/>
          <w:szCs w:val="44"/>
        </w:rPr>
        <w:br w:type="page"/>
      </w: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outlineLvl w:val="1"/>
        <w:rPr>
          <w:b/>
          <w:bCs/>
          <w:sz w:val="44"/>
          <w:szCs w:val="44"/>
        </w:rPr>
      </w:pPr>
      <w:bookmarkStart w:id="16" w:name="_Toc10124625"/>
      <w:bookmarkStart w:id="17" w:name="_Toc170229628"/>
      <w:r>
        <w:rPr>
          <w:rFonts w:hint="eastAsia"/>
          <w:b/>
          <w:bCs/>
          <w:sz w:val="44"/>
          <w:szCs w:val="44"/>
        </w:rPr>
        <w:t>第五部分  投标人须知</w:t>
      </w:r>
      <w:bookmarkEnd w:id="16"/>
      <w:bookmarkEnd w:id="17"/>
    </w:p>
    <w:p>
      <w:pPr>
        <w:spacing w:line="440" w:lineRule="exact"/>
        <w:jc w:val="center"/>
        <w:rPr>
          <w:b/>
          <w:bCs/>
          <w:sz w:val="44"/>
          <w:szCs w:val="44"/>
        </w:rPr>
      </w:pPr>
      <w:r>
        <w:rPr>
          <w:b/>
          <w:bCs/>
          <w:sz w:val="44"/>
          <w:szCs w:val="44"/>
        </w:rPr>
        <w:br w:type="page"/>
      </w:r>
      <w:r>
        <w:rPr>
          <w:rFonts w:hint="eastAsia"/>
          <w:b/>
          <w:bCs/>
          <w:sz w:val="44"/>
          <w:szCs w:val="44"/>
        </w:rPr>
        <w:t>投标人须知</w:t>
      </w:r>
    </w:p>
    <w:p/>
    <w:p>
      <w:pPr>
        <w:spacing w:line="440" w:lineRule="exact"/>
        <w:jc w:val="center"/>
        <w:outlineLvl w:val="1"/>
        <w:rPr>
          <w:sz w:val="36"/>
          <w:szCs w:val="36"/>
        </w:rPr>
      </w:pPr>
      <w:bookmarkStart w:id="18" w:name="_Toc170229629"/>
      <w:bookmarkStart w:id="19" w:name="_Toc10124626"/>
      <w:r>
        <w:rPr>
          <w:rFonts w:hint="eastAsia"/>
          <w:b/>
          <w:bCs/>
          <w:sz w:val="36"/>
          <w:szCs w:val="36"/>
        </w:rPr>
        <w:t>一、说明</w:t>
      </w:r>
      <w:bookmarkEnd w:id="9"/>
      <w:bookmarkEnd w:id="18"/>
      <w:bookmarkEnd w:id="19"/>
    </w:p>
    <w:p>
      <w:pPr>
        <w:numPr>
          <w:ilvl w:val="0"/>
          <w:numId w:val="18"/>
        </w:numPr>
        <w:spacing w:before="120" w:beforeLines="50" w:after="120" w:afterLines="50" w:line="440" w:lineRule="exact"/>
        <w:outlineLvl w:val="2"/>
        <w:rPr>
          <w:b/>
          <w:sz w:val="24"/>
        </w:rPr>
      </w:pPr>
      <w:bookmarkStart w:id="20" w:name="_Toc521850207"/>
      <w:bookmarkStart w:id="21" w:name="_Toc10124627"/>
      <w:bookmarkStart w:id="22" w:name="_Toc170229630"/>
      <w:bookmarkStart w:id="23" w:name="_Toc314064451"/>
      <w:r>
        <w:rPr>
          <w:rFonts w:hint="eastAsia"/>
          <w:b/>
          <w:sz w:val="24"/>
        </w:rPr>
        <w:t>招标范围及资金来源</w:t>
      </w:r>
      <w:bookmarkEnd w:id="20"/>
      <w:bookmarkEnd w:id="21"/>
      <w:bookmarkEnd w:id="22"/>
      <w:bookmarkEnd w:id="23"/>
    </w:p>
    <w:p>
      <w:pPr>
        <w:numPr>
          <w:ilvl w:val="1"/>
          <w:numId w:val="18"/>
        </w:numPr>
        <w:spacing w:line="440" w:lineRule="exact"/>
        <w:rPr>
          <w:sz w:val="24"/>
        </w:rPr>
      </w:pPr>
      <w:r>
        <w:rPr>
          <w:rFonts w:hint="eastAsia"/>
          <w:sz w:val="24"/>
        </w:rPr>
        <w:t>招标范围：详细要求见本招标文件中《用户需求书》。本次招标，投标人必须对全部内容（每包号）进行报价，不得缺漏。</w:t>
      </w:r>
    </w:p>
    <w:p>
      <w:pPr>
        <w:numPr>
          <w:ilvl w:val="1"/>
          <w:numId w:val="18"/>
        </w:numPr>
        <w:spacing w:line="440" w:lineRule="exact"/>
        <w:rPr>
          <w:sz w:val="24"/>
        </w:rPr>
      </w:pPr>
      <w:r>
        <w:rPr>
          <w:rFonts w:hint="eastAsia"/>
          <w:sz w:val="24"/>
        </w:rPr>
        <w:t>资金来源：</w:t>
      </w:r>
      <w:r>
        <w:rPr>
          <w:rFonts w:hint="eastAsia"/>
          <w:b/>
          <w:i/>
          <w:sz w:val="24"/>
          <w:u w:val="single"/>
        </w:rPr>
        <w:t>详见投标人须知前附表。</w:t>
      </w:r>
    </w:p>
    <w:p>
      <w:pPr>
        <w:numPr>
          <w:ilvl w:val="0"/>
          <w:numId w:val="18"/>
        </w:numPr>
        <w:spacing w:before="120" w:beforeLines="50" w:after="120" w:afterLines="50" w:line="440" w:lineRule="exact"/>
        <w:outlineLvl w:val="2"/>
        <w:rPr>
          <w:b/>
          <w:sz w:val="24"/>
        </w:rPr>
      </w:pPr>
      <w:bookmarkStart w:id="24" w:name="_Toc170229631"/>
      <w:bookmarkStart w:id="25" w:name="_Toc317604605"/>
      <w:bookmarkStart w:id="26" w:name="_Toc10124628"/>
      <w:bookmarkStart w:id="27" w:name="_Toc521850208"/>
      <w:r>
        <w:rPr>
          <w:rFonts w:hint="eastAsia"/>
          <w:b/>
          <w:sz w:val="24"/>
        </w:rPr>
        <w:t>定义</w:t>
      </w:r>
      <w:bookmarkEnd w:id="24"/>
      <w:bookmarkEnd w:id="25"/>
      <w:bookmarkEnd w:id="26"/>
      <w:bookmarkEnd w:id="27"/>
    </w:p>
    <w:p>
      <w:pPr>
        <w:numPr>
          <w:ilvl w:val="1"/>
          <w:numId w:val="18"/>
        </w:numPr>
        <w:spacing w:line="440" w:lineRule="exact"/>
        <w:rPr>
          <w:sz w:val="24"/>
        </w:rPr>
      </w:pPr>
      <w:r>
        <w:rPr>
          <w:rFonts w:hint="eastAsia"/>
          <w:sz w:val="24"/>
        </w:rPr>
        <w:t>采购人：</w:t>
      </w:r>
      <w:r>
        <w:rPr>
          <w:rFonts w:hint="eastAsia"/>
          <w:b/>
          <w:i/>
          <w:sz w:val="24"/>
          <w:u w:val="single"/>
        </w:rPr>
        <w:t>详见投标人须知前附表。</w:t>
      </w:r>
    </w:p>
    <w:p>
      <w:pPr>
        <w:numPr>
          <w:ilvl w:val="1"/>
          <w:numId w:val="18"/>
        </w:numPr>
        <w:spacing w:line="440" w:lineRule="exact"/>
        <w:rPr>
          <w:sz w:val="24"/>
        </w:rPr>
      </w:pPr>
      <w:r>
        <w:rPr>
          <w:rFonts w:hint="eastAsia"/>
          <w:sz w:val="24"/>
        </w:rPr>
        <w:t>采购代理机构：广东中元招标代理有限公司</w:t>
      </w:r>
    </w:p>
    <w:p>
      <w:pPr>
        <w:numPr>
          <w:ilvl w:val="1"/>
          <w:numId w:val="18"/>
        </w:numPr>
        <w:spacing w:line="440" w:lineRule="exact"/>
        <w:rPr>
          <w:sz w:val="24"/>
        </w:rPr>
      </w:pPr>
      <w:r>
        <w:rPr>
          <w:rFonts w:hint="eastAsia"/>
          <w:sz w:val="24"/>
        </w:rPr>
        <w:t>评标委员会：评标委员会是专门负责本次招标其评标工作的临时性机构。</w:t>
      </w:r>
    </w:p>
    <w:p>
      <w:pPr>
        <w:numPr>
          <w:ilvl w:val="1"/>
          <w:numId w:val="18"/>
        </w:numPr>
        <w:spacing w:line="440" w:lineRule="exact"/>
        <w:rPr>
          <w:sz w:val="24"/>
        </w:rPr>
      </w:pPr>
      <w:r>
        <w:rPr>
          <w:rFonts w:hint="eastAsia"/>
          <w:sz w:val="24"/>
        </w:rPr>
        <w:t>日期：指日历日。评审时，对投标中出现的“工作日”按五个工作日折合七个日历日计算，且评标委员会可能会就有关日期作出对该投标人不利的折算或量化，投标人不得对此提出异议，否则其投标将被拒绝。</w:t>
      </w:r>
    </w:p>
    <w:p>
      <w:pPr>
        <w:numPr>
          <w:ilvl w:val="1"/>
          <w:numId w:val="18"/>
        </w:numPr>
        <w:spacing w:line="440" w:lineRule="exact"/>
        <w:rPr>
          <w:sz w:val="24"/>
        </w:rPr>
      </w:pPr>
      <w:r>
        <w:rPr>
          <w:rFonts w:hint="eastAsia"/>
          <w:sz w:val="24"/>
        </w:rPr>
        <w:t>时间：指北京时间。</w:t>
      </w:r>
    </w:p>
    <w:p>
      <w:pPr>
        <w:numPr>
          <w:ilvl w:val="1"/>
          <w:numId w:val="18"/>
        </w:numPr>
        <w:spacing w:line="440" w:lineRule="exact"/>
        <w:rPr>
          <w:sz w:val="24"/>
        </w:rPr>
      </w:pPr>
      <w:r>
        <w:rPr>
          <w:rFonts w:hint="eastAsia"/>
          <w:sz w:val="24"/>
        </w:rPr>
        <w:t>合同：指由本次招标所产生的合同或合约文件。</w:t>
      </w:r>
    </w:p>
    <w:p>
      <w:pPr>
        <w:numPr>
          <w:ilvl w:val="1"/>
          <w:numId w:val="18"/>
        </w:numPr>
        <w:spacing w:line="440" w:lineRule="exact"/>
        <w:rPr>
          <w:sz w:val="24"/>
        </w:rPr>
      </w:pPr>
      <w:r>
        <w:rPr>
          <w:rFonts w:hint="eastAsia"/>
          <w:sz w:val="24"/>
        </w:rPr>
        <w:t>招标文件中所规定“书面形式”，是指任何手写的、打印的或印刷的方式，通讯方式包括专人递交或传真发送。</w:t>
      </w:r>
    </w:p>
    <w:p>
      <w:pPr>
        <w:numPr>
          <w:ilvl w:val="0"/>
          <w:numId w:val="18"/>
        </w:numPr>
        <w:spacing w:before="120" w:beforeLines="50" w:after="120" w:afterLines="50" w:line="440" w:lineRule="exact"/>
        <w:outlineLvl w:val="2"/>
        <w:rPr>
          <w:b/>
          <w:sz w:val="24"/>
        </w:rPr>
      </w:pPr>
      <w:bookmarkStart w:id="28" w:name="_Toc10124629"/>
      <w:bookmarkStart w:id="29" w:name="_Toc317604606"/>
      <w:bookmarkStart w:id="30" w:name="_Toc170229632"/>
      <w:bookmarkStart w:id="31" w:name="_Toc521850209"/>
      <w:r>
        <w:rPr>
          <w:rFonts w:hint="eastAsia"/>
          <w:b/>
          <w:sz w:val="24"/>
        </w:rPr>
        <w:t>合格的投标人</w:t>
      </w:r>
      <w:bookmarkEnd w:id="28"/>
      <w:bookmarkEnd w:id="29"/>
      <w:bookmarkEnd w:id="30"/>
      <w:bookmarkEnd w:id="31"/>
    </w:p>
    <w:p>
      <w:pPr>
        <w:numPr>
          <w:ilvl w:val="1"/>
          <w:numId w:val="18"/>
        </w:numPr>
        <w:spacing w:line="440" w:lineRule="exact"/>
        <w:rPr>
          <w:sz w:val="24"/>
        </w:rPr>
      </w:pPr>
      <w:r>
        <w:rPr>
          <w:rFonts w:hint="eastAsia"/>
          <w:sz w:val="24"/>
        </w:rPr>
        <w:t>除非下文另有规定，凡是在中华人民共和国境内注册且为人民币流通区域内的供应商均可投标。</w:t>
      </w:r>
    </w:p>
    <w:p>
      <w:pPr>
        <w:numPr>
          <w:ilvl w:val="1"/>
          <w:numId w:val="18"/>
        </w:numPr>
        <w:spacing w:line="440" w:lineRule="exact"/>
        <w:rPr>
          <w:sz w:val="24"/>
        </w:rPr>
      </w:pPr>
      <w:r>
        <w:rPr>
          <w:rFonts w:hint="eastAsia"/>
          <w:sz w:val="24"/>
        </w:rPr>
        <w:t>只有在法律上和财务上独立、合法运作并独立于采购人和采购代理机构的供货人才能参加投标。</w:t>
      </w:r>
    </w:p>
    <w:p>
      <w:pPr>
        <w:numPr>
          <w:ilvl w:val="1"/>
          <w:numId w:val="18"/>
        </w:numPr>
        <w:spacing w:line="440" w:lineRule="exact"/>
        <w:rPr>
          <w:sz w:val="24"/>
        </w:rPr>
      </w:pPr>
      <w:r>
        <w:rPr>
          <w:rFonts w:hint="eastAsia"/>
          <w:sz w:val="24"/>
        </w:rPr>
        <w:t>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pPr>
        <w:numPr>
          <w:ilvl w:val="1"/>
          <w:numId w:val="18"/>
        </w:numPr>
        <w:spacing w:line="440" w:lineRule="exact"/>
        <w:rPr>
          <w:sz w:val="24"/>
        </w:rPr>
      </w:pPr>
      <w:r>
        <w:rPr>
          <w:rFonts w:hint="eastAsia"/>
          <w:sz w:val="24"/>
        </w:rPr>
        <w:t>供应商参加政府采购活动前三年内，在经营活动中没有重大违法记录（须提供书面声明）。</w:t>
      </w:r>
    </w:p>
    <w:p>
      <w:pPr>
        <w:numPr>
          <w:ilvl w:val="1"/>
          <w:numId w:val="18"/>
        </w:numPr>
        <w:spacing w:line="440" w:lineRule="exact"/>
        <w:rPr>
          <w:sz w:val="24"/>
        </w:rPr>
      </w:pPr>
      <w:r>
        <w:rPr>
          <w:rFonts w:hint="eastAsia"/>
          <w:sz w:val="24"/>
        </w:rPr>
        <w:t>其他资格要求</w:t>
      </w:r>
      <w:r>
        <w:rPr>
          <w:rFonts w:hint="eastAsia"/>
          <w:b/>
          <w:i/>
          <w:sz w:val="24"/>
          <w:u w:val="single"/>
        </w:rPr>
        <w:t>详见投标人须知前附表。</w:t>
      </w:r>
    </w:p>
    <w:p>
      <w:pPr>
        <w:numPr>
          <w:ilvl w:val="0"/>
          <w:numId w:val="18"/>
        </w:numPr>
        <w:spacing w:before="120" w:beforeLines="50" w:after="120" w:afterLines="50" w:line="440" w:lineRule="exact"/>
        <w:outlineLvl w:val="2"/>
        <w:rPr>
          <w:b/>
          <w:sz w:val="24"/>
        </w:rPr>
      </w:pPr>
      <w:bookmarkStart w:id="32" w:name="_Toc521850210"/>
      <w:bookmarkStart w:id="33" w:name="_Toc384826989"/>
      <w:bookmarkStart w:id="34" w:name="_Toc379558263"/>
      <w:bookmarkStart w:id="35" w:name="_Toc10124630"/>
      <w:bookmarkStart w:id="36" w:name="_Toc170229633"/>
      <w:bookmarkStart w:id="37" w:name="_Toc380055605"/>
      <w:bookmarkStart w:id="38" w:name="_Toc317604608"/>
      <w:r>
        <w:rPr>
          <w:rFonts w:hint="eastAsia"/>
          <w:b/>
          <w:sz w:val="24"/>
        </w:rPr>
        <w:t>联合体投标</w:t>
      </w:r>
      <w:bookmarkEnd w:id="32"/>
      <w:bookmarkEnd w:id="33"/>
      <w:bookmarkEnd w:id="34"/>
      <w:bookmarkEnd w:id="35"/>
      <w:r>
        <w:rPr>
          <w:rFonts w:hint="eastAsia"/>
          <w:b/>
          <w:sz w:val="24"/>
        </w:rPr>
        <w:t>（本项目不接受联合体形式投标）</w:t>
      </w:r>
      <w:bookmarkEnd w:id="36"/>
    </w:p>
    <w:p>
      <w:pPr>
        <w:numPr>
          <w:ilvl w:val="1"/>
          <w:numId w:val="18"/>
        </w:numPr>
        <w:spacing w:line="440" w:lineRule="exact"/>
        <w:rPr>
          <w:sz w:val="24"/>
        </w:rPr>
      </w:pPr>
      <w:r>
        <w:rPr>
          <w:rFonts w:hint="eastAsia"/>
          <w:sz w:val="24"/>
        </w:rPr>
        <w:t>联合体各方应共同签订联合体共同投标协议书，明确联合体牵头人和权利义务，该协议为投标文件的必要组成部分。</w:t>
      </w:r>
    </w:p>
    <w:p>
      <w:pPr>
        <w:numPr>
          <w:ilvl w:val="1"/>
          <w:numId w:val="18"/>
        </w:numPr>
        <w:spacing w:line="440" w:lineRule="exact"/>
        <w:rPr>
          <w:sz w:val="24"/>
        </w:rPr>
      </w:pPr>
      <w:r>
        <w:rPr>
          <w:rFonts w:hint="eastAsia"/>
          <w:sz w:val="24"/>
        </w:rPr>
        <w:t>联合体的投标文件及中标后共同签署的合同书对联合体各方均具法律约束力，并承担连带责任。</w:t>
      </w:r>
    </w:p>
    <w:p>
      <w:pPr>
        <w:numPr>
          <w:ilvl w:val="1"/>
          <w:numId w:val="18"/>
        </w:numPr>
        <w:spacing w:line="440" w:lineRule="exact"/>
        <w:rPr>
          <w:sz w:val="24"/>
        </w:rPr>
      </w:pPr>
      <w:r>
        <w:rPr>
          <w:rFonts w:hint="eastAsia"/>
          <w:sz w:val="24"/>
        </w:rPr>
        <w:t>联合体各方签订共同投标协议后，不得再以自己的名义单独投标，也不得再组成新的联合体或参加其他联合体在同一项目中投标，否则，其投标和与此有关的联合体的投标将被拒绝。</w:t>
      </w:r>
    </w:p>
    <w:p>
      <w:pPr>
        <w:numPr>
          <w:ilvl w:val="1"/>
          <w:numId w:val="18"/>
        </w:numPr>
        <w:spacing w:line="440" w:lineRule="exact"/>
        <w:rPr>
          <w:sz w:val="24"/>
        </w:rPr>
      </w:pPr>
      <w:r>
        <w:rPr>
          <w:rFonts w:hint="eastAsia"/>
          <w:sz w:val="24"/>
        </w:rPr>
        <w:t>联合体牵头人应被授权作为联合体各方的代表，承担责任和接受指令，并负责合同的全面履行和协调联合体内部工作。</w:t>
      </w:r>
    </w:p>
    <w:p>
      <w:pPr>
        <w:numPr>
          <w:ilvl w:val="0"/>
          <w:numId w:val="18"/>
        </w:numPr>
        <w:spacing w:before="120" w:beforeLines="50" w:after="120" w:afterLines="50" w:line="440" w:lineRule="exact"/>
        <w:outlineLvl w:val="2"/>
        <w:rPr>
          <w:b/>
          <w:sz w:val="24"/>
        </w:rPr>
      </w:pPr>
      <w:bookmarkStart w:id="39" w:name="_Toc521850211"/>
      <w:bookmarkStart w:id="40" w:name="_Toc170229634"/>
      <w:bookmarkStart w:id="41" w:name="_Toc10124631"/>
      <w:r>
        <w:rPr>
          <w:rFonts w:hint="eastAsia"/>
          <w:b/>
          <w:sz w:val="24"/>
        </w:rPr>
        <w:t>合格的货物和服务</w:t>
      </w:r>
      <w:bookmarkEnd w:id="37"/>
      <w:bookmarkEnd w:id="39"/>
      <w:bookmarkEnd w:id="40"/>
      <w:bookmarkEnd w:id="41"/>
    </w:p>
    <w:p>
      <w:pPr>
        <w:numPr>
          <w:ilvl w:val="1"/>
          <w:numId w:val="18"/>
        </w:numPr>
        <w:spacing w:line="440" w:lineRule="exact"/>
        <w:rPr>
          <w:sz w:val="24"/>
        </w:rPr>
      </w:pPr>
      <w:r>
        <w:rPr>
          <w:rFonts w:hint="eastAsia"/>
          <w:sz w:val="24"/>
        </w:rPr>
        <w:t>必须是全新的货物，如安装或配置了软件的，须为正版软件。</w:t>
      </w:r>
    </w:p>
    <w:p>
      <w:pPr>
        <w:numPr>
          <w:ilvl w:val="1"/>
          <w:numId w:val="18"/>
        </w:numPr>
        <w:spacing w:line="440" w:lineRule="exact"/>
        <w:rPr>
          <w:sz w:val="24"/>
        </w:rPr>
      </w:pPr>
      <w:r>
        <w:rPr>
          <w:rFonts w:hint="eastAsia"/>
          <w:sz w:val="24"/>
        </w:rPr>
        <w:t>产品及相关的服务必须符合中华人民共和国的设计和制造生产或行业标准。</w:t>
      </w:r>
    </w:p>
    <w:p>
      <w:pPr>
        <w:numPr>
          <w:ilvl w:val="1"/>
          <w:numId w:val="18"/>
        </w:numPr>
        <w:spacing w:line="440" w:lineRule="exact"/>
        <w:rPr>
          <w:sz w:val="24"/>
        </w:rPr>
      </w:pPr>
      <w:r>
        <w:rPr>
          <w:rFonts w:hint="eastAsia"/>
          <w:sz w:val="24"/>
        </w:rPr>
        <w:t>投标人应保证，采购人在中华人民共和国使用该产品的任何一部分时，免受第三方提出的包括但不限于侵犯其专利权、商标权或工业设计权等知识产权和抵押权在内的担保物权的起诉。</w:t>
      </w:r>
    </w:p>
    <w:p>
      <w:pPr>
        <w:numPr>
          <w:ilvl w:val="1"/>
          <w:numId w:val="18"/>
        </w:numPr>
        <w:spacing w:line="440" w:lineRule="exact"/>
        <w:rPr>
          <w:sz w:val="24"/>
        </w:rPr>
      </w:pPr>
      <w:r>
        <w:rPr>
          <w:rFonts w:hint="eastAsia"/>
          <w:sz w:val="24"/>
        </w:rPr>
        <w:t>投标人所提供的货物必须符合招标文件</w:t>
      </w:r>
      <w:r>
        <w:rPr>
          <w:rFonts w:hint="eastAsia"/>
          <w:b/>
          <w:i/>
          <w:sz w:val="24"/>
          <w:u w:val="single"/>
        </w:rPr>
        <w:t>第二部分用户需求书</w:t>
      </w:r>
      <w:r>
        <w:rPr>
          <w:rFonts w:hint="eastAsia"/>
          <w:sz w:val="24"/>
        </w:rPr>
        <w:t>和采购人要求。</w:t>
      </w:r>
    </w:p>
    <w:p>
      <w:pPr>
        <w:numPr>
          <w:ilvl w:val="1"/>
          <w:numId w:val="18"/>
        </w:numPr>
        <w:spacing w:line="440" w:lineRule="exact"/>
        <w:rPr>
          <w:sz w:val="24"/>
        </w:rPr>
      </w:pPr>
      <w:r>
        <w:rPr>
          <w:rFonts w:hint="eastAsia"/>
          <w:sz w:val="24"/>
        </w:rPr>
        <w:t>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numPr>
          <w:ilvl w:val="0"/>
          <w:numId w:val="18"/>
        </w:numPr>
        <w:spacing w:before="120" w:beforeLines="50" w:after="120" w:afterLines="50" w:line="440" w:lineRule="exact"/>
        <w:outlineLvl w:val="2"/>
        <w:rPr>
          <w:b/>
          <w:sz w:val="24"/>
        </w:rPr>
      </w:pPr>
      <w:bookmarkStart w:id="42" w:name="_Toc521850212"/>
      <w:bookmarkStart w:id="43" w:name="_Toc10124632"/>
      <w:bookmarkStart w:id="44" w:name="_Toc170229635"/>
      <w:r>
        <w:rPr>
          <w:rFonts w:hint="eastAsia"/>
          <w:b/>
          <w:sz w:val="24"/>
        </w:rPr>
        <w:t>投标费用</w:t>
      </w:r>
      <w:bookmarkEnd w:id="38"/>
      <w:bookmarkEnd w:id="42"/>
      <w:bookmarkEnd w:id="43"/>
      <w:bookmarkEnd w:id="44"/>
    </w:p>
    <w:p>
      <w:pPr>
        <w:numPr>
          <w:ilvl w:val="1"/>
          <w:numId w:val="18"/>
        </w:numPr>
        <w:spacing w:line="440" w:lineRule="exact"/>
        <w:rPr>
          <w:sz w:val="24"/>
        </w:rPr>
      </w:pPr>
      <w:r>
        <w:rPr>
          <w:rFonts w:hint="eastAsia"/>
          <w:sz w:val="24"/>
        </w:rPr>
        <w:t>投标人应承担所有与准备和参加投标有关的费用。不论投标的结果如何，采购代理机构、采购人不负责投标人准备投标文件和递交投标文件所发生的任何成本或费用。</w:t>
      </w:r>
    </w:p>
    <w:p>
      <w:pPr>
        <w:numPr>
          <w:ilvl w:val="0"/>
          <w:numId w:val="18"/>
        </w:numPr>
        <w:spacing w:before="120" w:beforeLines="50" w:after="120" w:afterLines="50" w:line="440" w:lineRule="exact"/>
        <w:outlineLvl w:val="2"/>
        <w:rPr>
          <w:b/>
          <w:sz w:val="24"/>
        </w:rPr>
      </w:pPr>
      <w:bookmarkStart w:id="45" w:name="_Toc521850213"/>
      <w:bookmarkStart w:id="46" w:name="_Toc335660524"/>
      <w:bookmarkStart w:id="47" w:name="_Toc10124633"/>
      <w:bookmarkStart w:id="48" w:name="_Toc170229636"/>
      <w:r>
        <w:rPr>
          <w:rFonts w:hint="eastAsia"/>
          <w:b/>
          <w:sz w:val="24"/>
        </w:rPr>
        <w:t>踏勘现场</w:t>
      </w:r>
      <w:bookmarkEnd w:id="45"/>
      <w:bookmarkEnd w:id="46"/>
      <w:bookmarkEnd w:id="47"/>
      <w:bookmarkEnd w:id="48"/>
    </w:p>
    <w:p>
      <w:pPr>
        <w:numPr>
          <w:ilvl w:val="1"/>
          <w:numId w:val="18"/>
        </w:numPr>
        <w:spacing w:line="440" w:lineRule="exact"/>
        <w:rPr>
          <w:sz w:val="24"/>
        </w:rPr>
      </w:pPr>
      <w:bookmarkStart w:id="49" w:name="_Ref179620557"/>
      <w:r>
        <w:rPr>
          <w:rFonts w:hint="eastAsia"/>
          <w:sz w:val="24"/>
        </w:rPr>
        <w:t>如有必要，采购人将组织投标人对项目现场及周围环境进行踏勘，以便投标人获取须自己负责的有关编制投标文件和签署合同所需的所有资料。踏勘现场所发生的费用由投标人自己承担。</w:t>
      </w:r>
      <w:bookmarkEnd w:id="49"/>
    </w:p>
    <w:p>
      <w:pPr>
        <w:numPr>
          <w:ilvl w:val="1"/>
          <w:numId w:val="18"/>
        </w:numPr>
        <w:spacing w:line="440" w:lineRule="exact"/>
        <w:rPr>
          <w:sz w:val="24"/>
        </w:rPr>
      </w:pPr>
      <w:r>
        <w:rPr>
          <w:rFonts w:hint="eastAsia"/>
          <w:sz w:val="24"/>
        </w:rPr>
        <w:t>采购人向投标人提供的有关现场的资料和数据，是采购人现有的能使投标人利用的资料。采购人对投标人由此而做出的推论、理解和结论概不负责。</w:t>
      </w:r>
    </w:p>
    <w:p>
      <w:pPr>
        <w:numPr>
          <w:ilvl w:val="1"/>
          <w:numId w:val="18"/>
        </w:numPr>
        <w:spacing w:line="440" w:lineRule="exact"/>
        <w:rPr>
          <w:sz w:val="24"/>
        </w:rPr>
      </w:pPr>
      <w:r>
        <w:rPr>
          <w:rFonts w:hint="eastAsia"/>
          <w:sz w:val="24"/>
        </w:rPr>
        <w:t>投标人及其人员经过采购人的允许，可为踏勘目的进入采购人的工程现场，但投标人及其人员不得因此使采购人及其人员承担有关的责任和蒙受损失。投标人并应对由此次踏勘现场而造成的死亡、人身伤害、财产损失、损害以及任何其他损失、损害和引起的费用和开支承担责任。</w:t>
      </w:r>
    </w:p>
    <w:p>
      <w:pPr>
        <w:numPr>
          <w:ilvl w:val="1"/>
          <w:numId w:val="18"/>
        </w:numPr>
        <w:spacing w:line="440" w:lineRule="exact"/>
        <w:rPr>
          <w:sz w:val="24"/>
        </w:rPr>
      </w:pPr>
      <w:r>
        <w:rPr>
          <w:rFonts w:hint="eastAsia"/>
          <w:sz w:val="24"/>
        </w:rPr>
        <w:t>如果投标人认为需要再次进行现场踏勘，采购代理机构和采购人将予以支持，费用自理。</w:t>
      </w:r>
    </w:p>
    <w:p>
      <w:pPr>
        <w:spacing w:before="240" w:beforeLines="100" w:after="240" w:afterLines="100" w:line="440" w:lineRule="exact"/>
        <w:jc w:val="center"/>
        <w:outlineLvl w:val="1"/>
        <w:rPr>
          <w:b/>
          <w:bCs/>
          <w:sz w:val="44"/>
          <w:szCs w:val="44"/>
        </w:rPr>
      </w:pPr>
      <w:bookmarkStart w:id="50" w:name="_Toc170229637"/>
      <w:bookmarkStart w:id="51" w:name="_Toc317604609"/>
      <w:bookmarkStart w:id="52" w:name="_Toc10124634"/>
      <w:bookmarkStart w:id="53" w:name="_Toc521850214"/>
      <w:r>
        <w:rPr>
          <w:rFonts w:hint="eastAsia"/>
          <w:b/>
          <w:bCs/>
          <w:sz w:val="44"/>
          <w:szCs w:val="44"/>
        </w:rPr>
        <w:t>二、招标文件</w:t>
      </w:r>
      <w:bookmarkEnd w:id="50"/>
      <w:bookmarkEnd w:id="51"/>
      <w:bookmarkEnd w:id="52"/>
      <w:bookmarkEnd w:id="53"/>
    </w:p>
    <w:p>
      <w:pPr>
        <w:numPr>
          <w:ilvl w:val="0"/>
          <w:numId w:val="18"/>
        </w:numPr>
        <w:spacing w:before="120" w:beforeLines="50" w:after="120" w:afterLines="50" w:line="440" w:lineRule="exact"/>
        <w:outlineLvl w:val="2"/>
        <w:rPr>
          <w:b/>
          <w:sz w:val="24"/>
        </w:rPr>
      </w:pPr>
      <w:bookmarkStart w:id="54" w:name="_Toc170229638"/>
      <w:bookmarkStart w:id="55" w:name="_Toc10124635"/>
      <w:bookmarkStart w:id="56" w:name="_Toc521850215"/>
      <w:bookmarkStart w:id="57" w:name="_Toc317604610"/>
      <w:r>
        <w:rPr>
          <w:rFonts w:hint="eastAsia"/>
          <w:b/>
          <w:sz w:val="24"/>
        </w:rPr>
        <w:t>招标文件的组成</w:t>
      </w:r>
      <w:bookmarkEnd w:id="54"/>
      <w:bookmarkEnd w:id="55"/>
      <w:bookmarkEnd w:id="56"/>
      <w:bookmarkEnd w:id="57"/>
    </w:p>
    <w:p>
      <w:pPr>
        <w:numPr>
          <w:ilvl w:val="1"/>
          <w:numId w:val="18"/>
        </w:numPr>
        <w:spacing w:line="440" w:lineRule="exact"/>
        <w:rPr>
          <w:sz w:val="24"/>
        </w:rPr>
      </w:pPr>
      <w:r>
        <w:rPr>
          <w:rFonts w:hint="eastAsia"/>
          <w:sz w:val="24"/>
        </w:rPr>
        <w:t>招标文件包括：</w:t>
      </w:r>
    </w:p>
    <w:p>
      <w:pPr>
        <w:spacing w:line="440" w:lineRule="exact"/>
        <w:ind w:left="899" w:leftChars="428"/>
        <w:rPr>
          <w:sz w:val="24"/>
          <w:szCs w:val="20"/>
        </w:rPr>
      </w:pPr>
      <w:r>
        <w:rPr>
          <w:rFonts w:hint="eastAsia"/>
          <w:sz w:val="24"/>
          <w:szCs w:val="20"/>
        </w:rPr>
        <w:t>目  录</w:t>
      </w:r>
    </w:p>
    <w:p>
      <w:pPr>
        <w:spacing w:line="440" w:lineRule="exact"/>
        <w:ind w:left="899" w:leftChars="428"/>
        <w:rPr>
          <w:sz w:val="24"/>
          <w:szCs w:val="20"/>
        </w:rPr>
      </w:pPr>
      <w:r>
        <w:rPr>
          <w:rFonts w:hint="eastAsia"/>
          <w:sz w:val="24"/>
          <w:szCs w:val="20"/>
        </w:rPr>
        <w:t>第一册</w:t>
      </w:r>
    </w:p>
    <w:p>
      <w:pPr>
        <w:spacing w:line="440" w:lineRule="exact"/>
        <w:ind w:left="899" w:leftChars="428"/>
        <w:rPr>
          <w:sz w:val="24"/>
          <w:szCs w:val="20"/>
        </w:rPr>
      </w:pPr>
      <w:r>
        <w:rPr>
          <w:rFonts w:hint="eastAsia"/>
          <w:sz w:val="24"/>
          <w:szCs w:val="20"/>
        </w:rPr>
        <w:t>第一部分  投标邀请</w:t>
      </w:r>
    </w:p>
    <w:p>
      <w:pPr>
        <w:spacing w:line="440" w:lineRule="exact"/>
        <w:ind w:left="899" w:leftChars="428"/>
        <w:rPr>
          <w:sz w:val="24"/>
          <w:szCs w:val="20"/>
        </w:rPr>
      </w:pPr>
      <w:r>
        <w:rPr>
          <w:rFonts w:hint="eastAsia"/>
          <w:sz w:val="24"/>
          <w:szCs w:val="20"/>
        </w:rPr>
        <w:t>第二部分  用户需求书</w:t>
      </w:r>
    </w:p>
    <w:p>
      <w:pPr>
        <w:spacing w:line="440" w:lineRule="exact"/>
        <w:ind w:left="899" w:leftChars="428"/>
        <w:rPr>
          <w:sz w:val="24"/>
          <w:szCs w:val="20"/>
        </w:rPr>
      </w:pPr>
      <w:r>
        <w:rPr>
          <w:rFonts w:hint="eastAsia"/>
          <w:sz w:val="24"/>
          <w:szCs w:val="20"/>
        </w:rPr>
        <w:t>第三部分  投标人须知前附表</w:t>
      </w:r>
    </w:p>
    <w:p>
      <w:pPr>
        <w:spacing w:line="440" w:lineRule="exact"/>
        <w:ind w:left="899" w:leftChars="428"/>
        <w:rPr>
          <w:sz w:val="24"/>
          <w:szCs w:val="20"/>
        </w:rPr>
      </w:pPr>
      <w:r>
        <w:rPr>
          <w:rFonts w:hint="eastAsia"/>
          <w:sz w:val="24"/>
          <w:szCs w:val="20"/>
        </w:rPr>
        <w:t>第四部分  评分方法</w:t>
      </w:r>
    </w:p>
    <w:p>
      <w:pPr>
        <w:spacing w:line="440" w:lineRule="exact"/>
        <w:ind w:left="899" w:leftChars="428"/>
        <w:rPr>
          <w:sz w:val="24"/>
          <w:szCs w:val="20"/>
        </w:rPr>
      </w:pPr>
      <w:r>
        <w:rPr>
          <w:rFonts w:hint="eastAsia"/>
          <w:sz w:val="24"/>
          <w:szCs w:val="20"/>
        </w:rPr>
        <w:t>第二册</w:t>
      </w:r>
    </w:p>
    <w:p>
      <w:pPr>
        <w:spacing w:line="440" w:lineRule="exact"/>
        <w:ind w:left="899" w:leftChars="428"/>
        <w:rPr>
          <w:sz w:val="24"/>
          <w:szCs w:val="20"/>
        </w:rPr>
      </w:pPr>
      <w:r>
        <w:rPr>
          <w:rFonts w:hint="eastAsia"/>
          <w:sz w:val="24"/>
          <w:szCs w:val="20"/>
        </w:rPr>
        <w:t>第五部分  投标人须知</w:t>
      </w:r>
    </w:p>
    <w:p>
      <w:pPr>
        <w:spacing w:line="440" w:lineRule="exact"/>
        <w:ind w:left="899" w:leftChars="428"/>
        <w:rPr>
          <w:sz w:val="24"/>
          <w:szCs w:val="20"/>
        </w:rPr>
      </w:pPr>
      <w:r>
        <w:rPr>
          <w:rFonts w:hint="eastAsia"/>
          <w:sz w:val="24"/>
          <w:szCs w:val="20"/>
        </w:rPr>
        <w:t>第六部分  合同格式（仅供参考）</w:t>
      </w:r>
    </w:p>
    <w:p>
      <w:pPr>
        <w:spacing w:line="440" w:lineRule="exact"/>
        <w:ind w:left="899" w:leftChars="428"/>
        <w:rPr>
          <w:sz w:val="24"/>
          <w:szCs w:val="20"/>
        </w:rPr>
      </w:pPr>
      <w:r>
        <w:rPr>
          <w:rFonts w:hint="eastAsia"/>
          <w:sz w:val="24"/>
          <w:szCs w:val="20"/>
        </w:rPr>
        <w:t>第七部分  投标文件格式</w:t>
      </w:r>
    </w:p>
    <w:p>
      <w:pPr>
        <w:numPr>
          <w:ilvl w:val="1"/>
          <w:numId w:val="18"/>
        </w:numPr>
        <w:spacing w:line="440" w:lineRule="exact"/>
        <w:rPr>
          <w:sz w:val="24"/>
        </w:rPr>
      </w:pPr>
      <w:r>
        <w:rPr>
          <w:rFonts w:hint="eastAsia"/>
          <w:sz w:val="24"/>
        </w:rPr>
        <w:t>投标人应认真阅读招标文件中所有的事项、格式、条款和规范等要求。投标人没有按照招标文件要求提交全部资料或者投标文件没有对招标文件在各方面都做出实质性响应是投标人的风险，没有实质性响应招标文件要求的投标将被作投标无效处理。</w:t>
      </w:r>
    </w:p>
    <w:p>
      <w:pPr>
        <w:numPr>
          <w:ilvl w:val="0"/>
          <w:numId w:val="18"/>
        </w:numPr>
        <w:spacing w:before="120" w:beforeLines="50" w:after="120" w:afterLines="50" w:line="440" w:lineRule="exact"/>
        <w:outlineLvl w:val="2"/>
        <w:rPr>
          <w:b/>
          <w:sz w:val="24"/>
        </w:rPr>
      </w:pPr>
      <w:bookmarkStart w:id="58" w:name="_Toc521850216"/>
      <w:bookmarkStart w:id="59" w:name="_Toc10124636"/>
      <w:bookmarkStart w:id="60" w:name="_Toc317604611"/>
      <w:bookmarkStart w:id="61" w:name="_Toc170229639"/>
      <w:bookmarkStart w:id="62" w:name="_Toc36971218"/>
      <w:bookmarkStart w:id="63" w:name="_Toc299354461"/>
      <w:bookmarkStart w:id="64" w:name="_Toc39071043"/>
      <w:r>
        <w:rPr>
          <w:rFonts w:hint="eastAsia"/>
          <w:b/>
          <w:sz w:val="24"/>
        </w:rPr>
        <w:t>招标文件的询问或质疑</w:t>
      </w:r>
      <w:bookmarkEnd w:id="58"/>
      <w:bookmarkEnd w:id="59"/>
      <w:bookmarkEnd w:id="60"/>
      <w:bookmarkEnd w:id="61"/>
    </w:p>
    <w:p>
      <w:pPr>
        <w:numPr>
          <w:ilvl w:val="1"/>
          <w:numId w:val="18"/>
        </w:numPr>
        <w:spacing w:line="440" w:lineRule="exact"/>
        <w:rPr>
          <w:sz w:val="24"/>
        </w:rPr>
      </w:pPr>
      <w:r>
        <w:rPr>
          <w:rFonts w:hint="eastAsia"/>
          <w:sz w:val="24"/>
        </w:rPr>
        <w:t>询问</w:t>
      </w:r>
    </w:p>
    <w:p>
      <w:pPr>
        <w:numPr>
          <w:ilvl w:val="2"/>
          <w:numId w:val="18"/>
        </w:numPr>
        <w:spacing w:line="440" w:lineRule="exact"/>
        <w:rPr>
          <w:sz w:val="24"/>
        </w:rPr>
      </w:pPr>
      <w:r>
        <w:rPr>
          <w:rFonts w:hint="eastAsia"/>
          <w:sz w:val="24"/>
        </w:rPr>
        <w:t>供应商对招标活动事项有疑问的，可以向采购人和采购代理机构提出询问。</w:t>
      </w:r>
    </w:p>
    <w:p>
      <w:pPr>
        <w:numPr>
          <w:ilvl w:val="2"/>
          <w:numId w:val="18"/>
        </w:numPr>
        <w:spacing w:line="440" w:lineRule="exact"/>
        <w:rPr>
          <w:sz w:val="24"/>
        </w:rPr>
      </w:pPr>
      <w:r>
        <w:rPr>
          <w:rFonts w:hint="eastAsia"/>
          <w:sz w:val="24"/>
        </w:rPr>
        <w:t>询问可以采取电话、当面或书面等形式。</w:t>
      </w:r>
    </w:p>
    <w:p>
      <w:pPr>
        <w:numPr>
          <w:ilvl w:val="2"/>
          <w:numId w:val="18"/>
        </w:numPr>
        <w:spacing w:line="440" w:lineRule="exact"/>
        <w:rPr>
          <w:sz w:val="24"/>
        </w:rPr>
      </w:pPr>
      <w:r>
        <w:rPr>
          <w:rFonts w:hint="eastAsia"/>
          <w:sz w:val="24"/>
        </w:rPr>
        <w:t>采购人和采购代理机构应当自收到供应商询问之日起3个工作日内作出答复，但答复的内容不得涉及商业秘密或者依法应当保密的内容。</w:t>
      </w:r>
    </w:p>
    <w:p>
      <w:pPr>
        <w:numPr>
          <w:ilvl w:val="1"/>
          <w:numId w:val="18"/>
        </w:numPr>
        <w:spacing w:line="440" w:lineRule="exact"/>
        <w:rPr>
          <w:sz w:val="24"/>
        </w:rPr>
      </w:pPr>
      <w:r>
        <w:rPr>
          <w:rFonts w:hint="eastAsia"/>
          <w:sz w:val="24"/>
        </w:rPr>
        <w:t>质疑</w:t>
      </w:r>
    </w:p>
    <w:p>
      <w:pPr>
        <w:numPr>
          <w:ilvl w:val="2"/>
          <w:numId w:val="18"/>
        </w:numPr>
        <w:spacing w:line="440" w:lineRule="exact"/>
        <w:rPr>
          <w:sz w:val="24"/>
        </w:rPr>
      </w:pPr>
      <w:r>
        <w:rPr>
          <w:rFonts w:hint="eastAsia"/>
          <w:sz w:val="24"/>
        </w:rPr>
        <w:t>供应商认为招标文件、采购过程和中标结果使自己的权益受到损害的，可以在知道或者应知其权益受到损害之日起七个工作日内，以书面原件形式（质疑函应当由质疑投标人的法定代表人或主要负责人签字并加盖单位公章，留有联系人及联系电话，并提供营业执照、法定代表人证明书、委托代理人授权委托书、法定代表人及被授权人身份证复印件加盖单位公章。）向采购人和采购代理机构提出质疑，逾期质疑无效。供应商应知其权益受到损害之日是指：</w:t>
      </w:r>
    </w:p>
    <w:p>
      <w:pPr>
        <w:numPr>
          <w:ilvl w:val="3"/>
          <w:numId w:val="18"/>
        </w:numPr>
        <w:spacing w:line="440" w:lineRule="exact"/>
        <w:rPr>
          <w:sz w:val="24"/>
        </w:rPr>
      </w:pPr>
      <w:r>
        <w:rPr>
          <w:rFonts w:hint="eastAsia"/>
          <w:sz w:val="24"/>
        </w:rPr>
        <w:t>对招标文件提出质疑的，为收到或下载招标文件之日或者招标文件公告期限届满之日；</w:t>
      </w:r>
    </w:p>
    <w:p>
      <w:pPr>
        <w:numPr>
          <w:ilvl w:val="3"/>
          <w:numId w:val="18"/>
        </w:numPr>
        <w:spacing w:line="440" w:lineRule="exact"/>
        <w:rPr>
          <w:sz w:val="24"/>
        </w:rPr>
      </w:pPr>
      <w:r>
        <w:rPr>
          <w:rFonts w:hint="eastAsia"/>
          <w:sz w:val="24"/>
        </w:rPr>
        <w:t>对采购过程提出质疑的，为各采购程序环节结束之日；</w:t>
      </w:r>
    </w:p>
    <w:p>
      <w:pPr>
        <w:numPr>
          <w:ilvl w:val="3"/>
          <w:numId w:val="18"/>
        </w:numPr>
        <w:spacing w:line="440" w:lineRule="exact"/>
        <w:rPr>
          <w:sz w:val="24"/>
        </w:rPr>
      </w:pPr>
      <w:r>
        <w:rPr>
          <w:rFonts w:hint="eastAsia"/>
          <w:sz w:val="24"/>
        </w:rPr>
        <w:t>对中标结果提出质疑的，为中标结果公告期限届满之日。</w:t>
      </w:r>
    </w:p>
    <w:p>
      <w:pPr>
        <w:numPr>
          <w:ilvl w:val="2"/>
          <w:numId w:val="18"/>
        </w:numPr>
        <w:spacing w:line="440" w:lineRule="exact"/>
        <w:rPr>
          <w:sz w:val="24"/>
        </w:rPr>
      </w:pPr>
      <w:r>
        <w:rPr>
          <w:rFonts w:hint="eastAsia"/>
          <w:sz w:val="24"/>
        </w:rPr>
        <w:t>质疑函应明确阐述招标文件、采购过程、中标结果使自己的合法权益受到损害的法律依据、事实依据、相关证明材料及证据来源，以便于有关单位调查、答复和处理</w:t>
      </w:r>
      <w:r>
        <w:rPr>
          <w:rFonts w:hint="eastAsia"/>
          <w:b/>
          <w:i/>
          <w:sz w:val="24"/>
          <w:u w:val="single"/>
        </w:rPr>
        <w:t>（范本详见附件）</w:t>
      </w:r>
      <w:r>
        <w:rPr>
          <w:rFonts w:hint="eastAsia"/>
          <w:sz w:val="24"/>
        </w:rPr>
        <w:t>。</w:t>
      </w:r>
    </w:p>
    <w:p>
      <w:pPr>
        <w:numPr>
          <w:ilvl w:val="2"/>
          <w:numId w:val="18"/>
        </w:numPr>
        <w:spacing w:line="440" w:lineRule="exact"/>
        <w:rPr>
          <w:sz w:val="24"/>
        </w:rPr>
      </w:pPr>
      <w:r>
        <w:rPr>
          <w:rFonts w:hint="eastAsia"/>
          <w:sz w:val="24"/>
        </w:rPr>
        <w:t>供应商质疑应当有明确的请求和必要的证明材料。质疑内容不得含有虚假、恶意成分。依照谁主张谁举证的原则，提出质疑者必须同时提交相关确凿的证据材料和注明证据的确切来源，证据来源必须合法，采购人和采购代理机构有权将质疑函转发质疑事项各关联方，请其作出解释说明。对捏造事实、滥用维权扰乱采购秩序的恶意质疑者，将上报学校采购监督管理部门依法处理。</w:t>
      </w:r>
    </w:p>
    <w:p>
      <w:pPr>
        <w:numPr>
          <w:ilvl w:val="2"/>
          <w:numId w:val="18"/>
        </w:numPr>
        <w:spacing w:line="440" w:lineRule="exact"/>
        <w:rPr>
          <w:sz w:val="24"/>
        </w:rPr>
      </w:pPr>
      <w:r>
        <w:rPr>
          <w:rFonts w:hint="eastAsia"/>
          <w:sz w:val="24"/>
        </w:rPr>
        <w:t>采购人和采购代理机构应当自受理供应商书面质疑之日起七个工作日内作出答复，并以书面形式通知提出质疑的投标人和其他有关投标人，但答复的内容不得涉及商业秘密或者依法应当保密的内容。</w:t>
      </w:r>
    </w:p>
    <w:p>
      <w:pPr>
        <w:numPr>
          <w:ilvl w:val="2"/>
          <w:numId w:val="18"/>
        </w:numPr>
        <w:spacing w:line="440" w:lineRule="exact"/>
        <w:rPr>
          <w:sz w:val="24"/>
        </w:rPr>
      </w:pPr>
      <w:r>
        <w:rPr>
          <w:rFonts w:hint="eastAsia"/>
          <w:sz w:val="24"/>
        </w:rPr>
        <w:t>接收质疑单位、联系电话及联系地址</w:t>
      </w:r>
    </w:p>
    <w:p>
      <w:pPr>
        <w:spacing w:line="440" w:lineRule="exact"/>
        <w:ind w:left="899" w:leftChars="428"/>
        <w:rPr>
          <w:sz w:val="24"/>
        </w:rPr>
      </w:pPr>
      <w:r>
        <w:rPr>
          <w:rFonts w:hint="eastAsia"/>
          <w:sz w:val="24"/>
        </w:rPr>
        <w:t>接收质疑单位：广东中元招标代理有限公司</w:t>
      </w:r>
    </w:p>
    <w:p>
      <w:pPr>
        <w:spacing w:line="440" w:lineRule="exact"/>
        <w:ind w:left="899" w:leftChars="428"/>
        <w:rPr>
          <w:sz w:val="24"/>
        </w:rPr>
      </w:pPr>
      <w:r>
        <w:rPr>
          <w:rFonts w:hint="eastAsia"/>
          <w:sz w:val="24"/>
        </w:rPr>
        <w:t>联系电话：0769-23663761</w:t>
      </w:r>
    </w:p>
    <w:p>
      <w:pPr>
        <w:spacing w:line="440" w:lineRule="exact"/>
        <w:ind w:left="899" w:leftChars="428"/>
        <w:rPr>
          <w:sz w:val="24"/>
        </w:rPr>
      </w:pPr>
      <w:r>
        <w:rPr>
          <w:rFonts w:hint="eastAsia"/>
          <w:sz w:val="24"/>
        </w:rPr>
        <w:t>联系地址：东莞市莞城区莞太路120号金马大厦八楼806-809室。</w:t>
      </w:r>
    </w:p>
    <w:bookmarkEnd w:id="62"/>
    <w:bookmarkEnd w:id="63"/>
    <w:bookmarkEnd w:id="64"/>
    <w:p>
      <w:pPr>
        <w:numPr>
          <w:ilvl w:val="0"/>
          <w:numId w:val="18"/>
        </w:numPr>
        <w:spacing w:before="120" w:beforeLines="50" w:after="120" w:afterLines="50" w:line="440" w:lineRule="exact"/>
        <w:outlineLvl w:val="2"/>
        <w:rPr>
          <w:b/>
          <w:sz w:val="24"/>
        </w:rPr>
      </w:pPr>
      <w:bookmarkStart w:id="65" w:name="_Toc36971219"/>
      <w:bookmarkStart w:id="66" w:name="_Toc10124637"/>
      <w:bookmarkStart w:id="67" w:name="_Toc317604612"/>
      <w:bookmarkStart w:id="68" w:name="_Toc521850217"/>
      <w:bookmarkStart w:id="69" w:name="_Toc170229640"/>
      <w:bookmarkStart w:id="70" w:name="_Toc39071044"/>
      <w:r>
        <w:rPr>
          <w:rFonts w:hint="eastAsia"/>
          <w:b/>
          <w:sz w:val="24"/>
        </w:rPr>
        <w:t>招标文件的修改</w:t>
      </w:r>
      <w:bookmarkEnd w:id="65"/>
      <w:bookmarkEnd w:id="66"/>
      <w:bookmarkEnd w:id="67"/>
      <w:bookmarkEnd w:id="68"/>
      <w:bookmarkEnd w:id="69"/>
      <w:bookmarkEnd w:id="70"/>
    </w:p>
    <w:p>
      <w:pPr>
        <w:numPr>
          <w:ilvl w:val="1"/>
          <w:numId w:val="18"/>
        </w:numPr>
        <w:wordWrap w:val="0"/>
        <w:spacing w:line="440" w:lineRule="exact"/>
        <w:rPr>
          <w:sz w:val="24"/>
        </w:rPr>
      </w:pPr>
      <w:r>
        <w:rPr>
          <w:rFonts w:hint="eastAsia"/>
          <w:sz w:val="24"/>
        </w:rPr>
        <w:t>采购人对已发出的招标文件进行澄清或者修改的，将在《中国政府采购网（</w:t>
      </w:r>
      <w:r>
        <w:rPr>
          <w:sz w:val="24"/>
        </w:rPr>
        <w:t>http://www.ccgp.gov.cn/</w:t>
      </w:r>
      <w:r>
        <w:rPr>
          <w:rFonts w:hint="eastAsia"/>
          <w:sz w:val="24"/>
        </w:rPr>
        <w:t>）》《元博网采购与招标网（</w:t>
      </w:r>
      <w:r>
        <w:rPr>
          <w:sz w:val="24"/>
        </w:rPr>
        <w:t>https://www.chinabidding.cn/</w:t>
      </w:r>
      <w:r>
        <w:rPr>
          <w:rFonts w:hint="eastAsia"/>
          <w:sz w:val="24"/>
        </w:rPr>
        <w:t>）》《广东中元招标网（http://www.zhongyuanzb.com/）》，以网上公告形式发布上发布澄清公告，该澄清或者修改的内容为招标文件的组成部分</w:t>
      </w:r>
      <w:r>
        <w:rPr>
          <w:sz w:val="24"/>
        </w:rPr>
        <w:t>。</w:t>
      </w:r>
    </w:p>
    <w:p>
      <w:pPr>
        <w:numPr>
          <w:ilvl w:val="1"/>
          <w:numId w:val="18"/>
        </w:numPr>
        <w:spacing w:line="440" w:lineRule="exact"/>
        <w:rPr>
          <w:sz w:val="24"/>
        </w:rPr>
      </w:pPr>
      <w:r>
        <w:rPr>
          <w:rFonts w:hint="eastAsia"/>
          <w:sz w:val="24"/>
        </w:rPr>
        <w:t>在递</w:t>
      </w:r>
      <w:r>
        <w:rPr>
          <w:sz w:val="24"/>
        </w:rPr>
        <w:t>交投标文件截止</w:t>
      </w:r>
      <w:r>
        <w:rPr>
          <w:rFonts w:hint="eastAsia"/>
          <w:sz w:val="24"/>
        </w:rPr>
        <w:t>前，采购人或者采购代理机构可以对已发出的招标文件进行必要的澄清或者修改。如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numPr>
          <w:ilvl w:val="1"/>
          <w:numId w:val="18"/>
        </w:numPr>
        <w:spacing w:line="440" w:lineRule="exact"/>
        <w:rPr>
          <w:sz w:val="24"/>
        </w:rPr>
      </w:pPr>
      <w:r>
        <w:rPr>
          <w:sz w:val="24"/>
        </w:rPr>
        <w:t>招标文件的</w:t>
      </w:r>
      <w:r>
        <w:rPr>
          <w:rFonts w:hint="eastAsia"/>
          <w:sz w:val="24"/>
        </w:rPr>
        <w:t>澄清或者修改</w:t>
      </w:r>
      <w:r>
        <w:rPr>
          <w:sz w:val="24"/>
        </w:rPr>
        <w:t>等内容均以书面形式明确的内容为准。当招标文件、招标文件的</w:t>
      </w:r>
      <w:r>
        <w:rPr>
          <w:rFonts w:hint="eastAsia"/>
          <w:sz w:val="24"/>
        </w:rPr>
        <w:t>澄清或者修改</w:t>
      </w:r>
      <w:r>
        <w:rPr>
          <w:sz w:val="24"/>
        </w:rPr>
        <w:t>等在同一内容的表述上不一致时，以最后发出的书面文件为准。</w:t>
      </w:r>
    </w:p>
    <w:p>
      <w:pPr>
        <w:spacing w:before="240" w:beforeLines="100" w:after="240" w:afterLines="100" w:line="440" w:lineRule="exact"/>
        <w:jc w:val="center"/>
        <w:outlineLvl w:val="1"/>
        <w:rPr>
          <w:b/>
          <w:bCs/>
          <w:sz w:val="44"/>
          <w:szCs w:val="44"/>
        </w:rPr>
      </w:pPr>
      <w:bookmarkStart w:id="71" w:name="_Toc39368836"/>
      <w:bookmarkStart w:id="72" w:name="_Toc10124638"/>
      <w:bookmarkStart w:id="73" w:name="_Toc39071045"/>
      <w:bookmarkStart w:id="74" w:name="_Toc170229641"/>
      <w:bookmarkStart w:id="75" w:name="_Toc36971221"/>
      <w:bookmarkStart w:id="76" w:name="_Toc521850218"/>
      <w:bookmarkStart w:id="77" w:name="_Toc317604613"/>
      <w:r>
        <w:rPr>
          <w:rFonts w:hint="eastAsia"/>
          <w:b/>
          <w:bCs/>
          <w:sz w:val="44"/>
          <w:szCs w:val="44"/>
        </w:rPr>
        <w:t>三、投标文件的编制</w:t>
      </w:r>
      <w:bookmarkEnd w:id="71"/>
      <w:bookmarkEnd w:id="72"/>
      <w:bookmarkEnd w:id="73"/>
      <w:bookmarkEnd w:id="74"/>
      <w:bookmarkEnd w:id="75"/>
      <w:bookmarkEnd w:id="76"/>
      <w:bookmarkEnd w:id="77"/>
    </w:p>
    <w:p>
      <w:pPr>
        <w:numPr>
          <w:ilvl w:val="0"/>
          <w:numId w:val="18"/>
        </w:numPr>
        <w:spacing w:before="120" w:beforeLines="50" w:after="120" w:afterLines="50" w:line="440" w:lineRule="exact"/>
        <w:outlineLvl w:val="2"/>
        <w:rPr>
          <w:b/>
          <w:sz w:val="24"/>
        </w:rPr>
      </w:pPr>
      <w:bookmarkStart w:id="78" w:name="_Toc521850219"/>
      <w:bookmarkStart w:id="79" w:name="_Toc170229642"/>
      <w:bookmarkStart w:id="80" w:name="_Toc317604614"/>
      <w:bookmarkStart w:id="81" w:name="_Toc10124639"/>
      <w:r>
        <w:rPr>
          <w:rFonts w:hint="eastAsia"/>
          <w:b/>
          <w:sz w:val="24"/>
        </w:rPr>
        <w:t>投标文件的语言及度量衡单位</w:t>
      </w:r>
      <w:bookmarkEnd w:id="78"/>
      <w:bookmarkEnd w:id="79"/>
      <w:bookmarkEnd w:id="80"/>
      <w:bookmarkEnd w:id="81"/>
    </w:p>
    <w:p>
      <w:pPr>
        <w:numPr>
          <w:ilvl w:val="1"/>
          <w:numId w:val="18"/>
        </w:numPr>
        <w:spacing w:line="440" w:lineRule="exact"/>
        <w:rPr>
          <w:sz w:val="24"/>
        </w:rPr>
      </w:pPr>
      <w:r>
        <w:rPr>
          <w:rFonts w:hint="eastAsia"/>
          <w:sz w:val="24"/>
        </w:rPr>
        <w:t>投标人提交的投标文件以及投标人与采购代理机构就有关投标的所有来往函件均应使用简体中文书写。对于任何非中文的资料，都应提供简体中文翻译本，有矛盾时以简体中文翻译本为准。</w:t>
      </w:r>
    </w:p>
    <w:p>
      <w:pPr>
        <w:numPr>
          <w:ilvl w:val="1"/>
          <w:numId w:val="18"/>
        </w:numPr>
        <w:spacing w:line="440" w:lineRule="exact"/>
        <w:rPr>
          <w:sz w:val="24"/>
        </w:rPr>
      </w:pPr>
      <w:r>
        <w:rPr>
          <w:rFonts w:hint="eastAsia"/>
          <w:sz w:val="24"/>
        </w:rPr>
        <w:t>在投标文件中以及所有投标人与采购代理机构和采购人往来文件中的所有</w:t>
      </w:r>
      <w:r>
        <w:rPr>
          <w:sz w:val="24"/>
        </w:rPr>
        <w:t>计量单位和规格都应按</w:t>
      </w:r>
      <w:r>
        <w:rPr>
          <w:rFonts w:hint="eastAsia"/>
          <w:sz w:val="24"/>
        </w:rPr>
        <w:t>照</w:t>
      </w:r>
      <w:r>
        <w:rPr>
          <w:sz w:val="24"/>
        </w:rPr>
        <w:t>国家有关规定使用公制标准。</w:t>
      </w:r>
    </w:p>
    <w:p>
      <w:pPr>
        <w:numPr>
          <w:ilvl w:val="0"/>
          <w:numId w:val="18"/>
        </w:numPr>
        <w:spacing w:before="120" w:beforeLines="50" w:after="120" w:afterLines="50" w:line="440" w:lineRule="exact"/>
        <w:outlineLvl w:val="2"/>
        <w:rPr>
          <w:b/>
          <w:sz w:val="24"/>
        </w:rPr>
      </w:pPr>
      <w:bookmarkStart w:id="82" w:name="_Toc10124640"/>
      <w:bookmarkStart w:id="83" w:name="_Toc521850220"/>
      <w:bookmarkStart w:id="84" w:name="_Toc317604615"/>
      <w:bookmarkStart w:id="85" w:name="_Toc170229643"/>
      <w:r>
        <w:rPr>
          <w:b/>
          <w:sz w:val="24"/>
        </w:rPr>
        <w:t>投标文件的组成</w:t>
      </w:r>
      <w:bookmarkEnd w:id="82"/>
      <w:bookmarkEnd w:id="83"/>
      <w:bookmarkEnd w:id="84"/>
      <w:bookmarkEnd w:id="85"/>
    </w:p>
    <w:p>
      <w:pPr>
        <w:numPr>
          <w:ilvl w:val="1"/>
          <w:numId w:val="18"/>
        </w:numPr>
        <w:spacing w:line="440" w:lineRule="exact"/>
        <w:rPr>
          <w:sz w:val="24"/>
        </w:rPr>
      </w:pPr>
      <w:r>
        <w:rPr>
          <w:rFonts w:hint="eastAsia"/>
          <w:sz w:val="24"/>
        </w:rPr>
        <w:t>投标人编写的</w:t>
      </w:r>
      <w:r>
        <w:rPr>
          <w:sz w:val="24"/>
        </w:rPr>
        <w:t>投标文件</w:t>
      </w:r>
      <w:r>
        <w:rPr>
          <w:rFonts w:hint="eastAsia"/>
          <w:sz w:val="24"/>
        </w:rPr>
        <w:t>应</w:t>
      </w:r>
      <w:r>
        <w:rPr>
          <w:sz w:val="24"/>
        </w:rPr>
        <w:t>包括下列</w:t>
      </w:r>
      <w:r>
        <w:rPr>
          <w:rFonts w:hint="eastAsia"/>
          <w:sz w:val="24"/>
        </w:rPr>
        <w:t>部分</w:t>
      </w:r>
      <w:r>
        <w:rPr>
          <w:sz w:val="24"/>
        </w:rPr>
        <w:t>：</w:t>
      </w:r>
    </w:p>
    <w:p>
      <w:pPr>
        <w:numPr>
          <w:ilvl w:val="2"/>
          <w:numId w:val="18"/>
        </w:numPr>
        <w:spacing w:line="440" w:lineRule="exact"/>
        <w:rPr>
          <w:sz w:val="24"/>
        </w:rPr>
      </w:pPr>
      <w:r>
        <w:rPr>
          <w:rFonts w:hint="eastAsia"/>
          <w:sz w:val="24"/>
        </w:rPr>
        <w:t>投标文件</w:t>
      </w:r>
    </w:p>
    <w:p>
      <w:pPr>
        <w:spacing w:line="440" w:lineRule="exact"/>
        <w:ind w:left="899" w:leftChars="428"/>
        <w:rPr>
          <w:sz w:val="24"/>
        </w:rPr>
      </w:pPr>
      <w:r>
        <w:rPr>
          <w:rFonts w:hint="eastAsia"/>
          <w:sz w:val="24"/>
        </w:rPr>
        <w:t>投标文件封面</w:t>
      </w:r>
    </w:p>
    <w:p>
      <w:pPr>
        <w:spacing w:line="440" w:lineRule="exact"/>
        <w:ind w:left="899" w:leftChars="428"/>
        <w:rPr>
          <w:rFonts w:ascii="Time New Roma" w:hAnsi="Time New Roma"/>
          <w:sz w:val="24"/>
        </w:rPr>
      </w:pPr>
      <w:r>
        <w:rPr>
          <w:rFonts w:hint="eastAsia" w:ascii="Time New Roma" w:hAnsi="Time New Roma"/>
          <w:sz w:val="24"/>
        </w:rPr>
        <w:t>一、投标函</w:t>
      </w:r>
    </w:p>
    <w:p>
      <w:pPr>
        <w:spacing w:line="440" w:lineRule="exact"/>
        <w:ind w:left="899" w:leftChars="428"/>
        <w:rPr>
          <w:rFonts w:ascii="Time New Roma" w:hAnsi="Time New Roma"/>
          <w:sz w:val="24"/>
        </w:rPr>
      </w:pPr>
      <w:r>
        <w:rPr>
          <w:rFonts w:hint="eastAsia" w:ascii="Time New Roma" w:hAnsi="Time New Roma"/>
          <w:sz w:val="24"/>
        </w:rPr>
        <w:t>二、开标一览表</w:t>
      </w:r>
    </w:p>
    <w:p>
      <w:pPr>
        <w:spacing w:line="440" w:lineRule="exact"/>
        <w:ind w:left="899" w:leftChars="428"/>
        <w:rPr>
          <w:rFonts w:ascii="Time New Roma" w:hAnsi="Time New Roma"/>
          <w:sz w:val="24"/>
        </w:rPr>
      </w:pPr>
      <w:r>
        <w:rPr>
          <w:rFonts w:hint="eastAsia" w:ascii="Time New Roma" w:hAnsi="Time New Roma"/>
          <w:sz w:val="24"/>
        </w:rPr>
        <w:t>三、报价明细表</w:t>
      </w:r>
    </w:p>
    <w:p>
      <w:pPr>
        <w:spacing w:line="440" w:lineRule="exact"/>
        <w:ind w:left="899" w:leftChars="428"/>
        <w:rPr>
          <w:rFonts w:ascii="Time New Roma" w:hAnsi="Time New Roma"/>
          <w:sz w:val="24"/>
        </w:rPr>
      </w:pPr>
      <w:r>
        <w:rPr>
          <w:rFonts w:hint="eastAsia" w:ascii="Time New Roma" w:hAnsi="Time New Roma"/>
          <w:sz w:val="24"/>
        </w:rPr>
        <w:t>四、承诺书</w:t>
      </w:r>
    </w:p>
    <w:p>
      <w:pPr>
        <w:spacing w:line="440" w:lineRule="exact"/>
        <w:ind w:left="899" w:leftChars="428"/>
        <w:rPr>
          <w:rFonts w:ascii="Time New Roma" w:hAnsi="Time New Roma"/>
          <w:sz w:val="24"/>
        </w:rPr>
      </w:pPr>
      <w:r>
        <w:rPr>
          <w:rFonts w:hint="eastAsia" w:ascii="Time New Roma" w:hAnsi="Time New Roma"/>
          <w:sz w:val="24"/>
        </w:rPr>
        <w:t>五、投标人资格证明文件</w:t>
      </w:r>
    </w:p>
    <w:p>
      <w:pPr>
        <w:spacing w:line="440" w:lineRule="exact"/>
        <w:ind w:left="899" w:leftChars="428"/>
        <w:rPr>
          <w:rFonts w:ascii="Time New Roma" w:hAnsi="Time New Roma"/>
          <w:sz w:val="24"/>
        </w:rPr>
      </w:pPr>
      <w:r>
        <w:rPr>
          <w:rFonts w:hint="eastAsia" w:ascii="Time New Roma" w:hAnsi="Time New Roma"/>
          <w:sz w:val="24"/>
        </w:rPr>
        <w:t>六、商务条款偏离表</w:t>
      </w:r>
    </w:p>
    <w:p>
      <w:pPr>
        <w:spacing w:line="440" w:lineRule="exact"/>
        <w:ind w:left="899" w:leftChars="428"/>
        <w:rPr>
          <w:rFonts w:ascii="Time New Roma" w:hAnsi="Time New Roma"/>
          <w:sz w:val="24"/>
        </w:rPr>
      </w:pPr>
      <w:r>
        <w:rPr>
          <w:rFonts w:hint="eastAsia" w:ascii="Time New Roma" w:hAnsi="Time New Roma"/>
          <w:sz w:val="24"/>
        </w:rPr>
        <w:t>七、服务方案</w:t>
      </w:r>
    </w:p>
    <w:p>
      <w:pPr>
        <w:spacing w:line="440" w:lineRule="exact"/>
        <w:ind w:left="899" w:leftChars="428"/>
        <w:rPr>
          <w:rFonts w:ascii="Time New Roma" w:hAnsi="Time New Roma"/>
          <w:sz w:val="24"/>
        </w:rPr>
      </w:pPr>
      <w:r>
        <w:rPr>
          <w:rFonts w:hint="eastAsia" w:ascii="Time New Roma" w:hAnsi="Time New Roma"/>
          <w:sz w:val="24"/>
        </w:rPr>
        <w:t>八、技术规格偏离表</w:t>
      </w:r>
    </w:p>
    <w:p>
      <w:pPr>
        <w:spacing w:line="440" w:lineRule="exact"/>
        <w:ind w:left="899" w:leftChars="428"/>
        <w:rPr>
          <w:rFonts w:ascii="Time New Roma" w:hAnsi="Time New Roma"/>
          <w:sz w:val="24"/>
        </w:rPr>
      </w:pPr>
      <w:r>
        <w:rPr>
          <w:rFonts w:hint="eastAsia" w:ascii="Time New Roma" w:hAnsi="Time New Roma"/>
          <w:sz w:val="24"/>
        </w:rPr>
        <w:t>九、中小企业声明函（可选）</w:t>
      </w:r>
    </w:p>
    <w:p>
      <w:pPr>
        <w:spacing w:line="440" w:lineRule="exact"/>
        <w:ind w:left="899" w:leftChars="428"/>
        <w:rPr>
          <w:rFonts w:ascii="Time New Roma" w:hAnsi="Time New Roma"/>
          <w:sz w:val="24"/>
        </w:rPr>
      </w:pPr>
      <w:r>
        <w:rPr>
          <w:rFonts w:hint="eastAsia" w:ascii="Time New Roma" w:hAnsi="Time New Roma"/>
          <w:sz w:val="24"/>
        </w:rPr>
        <w:t>十、残疾人福利性单位声明函（可选）</w:t>
      </w:r>
    </w:p>
    <w:p>
      <w:pPr>
        <w:spacing w:line="440" w:lineRule="exact"/>
        <w:ind w:left="899" w:leftChars="428"/>
        <w:rPr>
          <w:rFonts w:ascii="Time New Roma" w:hAnsi="Time New Roma"/>
          <w:sz w:val="24"/>
        </w:rPr>
      </w:pPr>
      <w:r>
        <w:rPr>
          <w:rFonts w:hint="eastAsia" w:ascii="Time New Roma" w:hAnsi="Time New Roma"/>
          <w:sz w:val="24"/>
        </w:rPr>
        <w:t>十一、中标服务费承诺书</w:t>
      </w:r>
    </w:p>
    <w:p>
      <w:pPr>
        <w:spacing w:line="440" w:lineRule="exact"/>
        <w:ind w:left="899" w:leftChars="428"/>
        <w:rPr>
          <w:rFonts w:ascii="Time New Roma" w:hAnsi="Time New Roma"/>
          <w:sz w:val="24"/>
        </w:rPr>
      </w:pPr>
      <w:r>
        <w:rPr>
          <w:rFonts w:hint="eastAsia" w:ascii="Time New Roma" w:hAnsi="Time New Roma"/>
          <w:sz w:val="24"/>
        </w:rPr>
        <w:t>十二、投标保证金汇入情况说明</w:t>
      </w:r>
    </w:p>
    <w:p>
      <w:pPr>
        <w:spacing w:line="440" w:lineRule="exact"/>
        <w:ind w:left="899" w:leftChars="428"/>
        <w:rPr>
          <w:b/>
          <w:sz w:val="24"/>
        </w:rPr>
      </w:pPr>
      <w:r>
        <w:rPr>
          <w:rFonts w:hint="eastAsia"/>
          <w:b/>
          <w:sz w:val="24"/>
        </w:rPr>
        <w:t>上述文件须按顺序装订成册，并编制投标文件目录及注明页码。</w:t>
      </w:r>
    </w:p>
    <w:p>
      <w:pPr>
        <w:numPr>
          <w:ilvl w:val="2"/>
          <w:numId w:val="18"/>
        </w:numPr>
        <w:spacing w:line="440" w:lineRule="exact"/>
        <w:rPr>
          <w:sz w:val="24"/>
        </w:rPr>
      </w:pPr>
      <w:r>
        <w:rPr>
          <w:rFonts w:hint="eastAsia"/>
          <w:sz w:val="24"/>
        </w:rPr>
        <w:t>唱标信封</w:t>
      </w:r>
    </w:p>
    <w:p>
      <w:pPr>
        <w:pStyle w:val="114"/>
        <w:spacing w:line="440" w:lineRule="exact"/>
        <w:ind w:left="899" w:leftChars="428" w:firstLine="7" w:firstLineChars="3"/>
        <w:rPr>
          <w:rFonts w:ascii="Times New Roman" w:hAnsi="Times New Roman" w:eastAsia="宋体"/>
          <w:sz w:val="24"/>
          <w:szCs w:val="24"/>
        </w:rPr>
      </w:pPr>
      <w:r>
        <w:rPr>
          <w:rFonts w:hint="eastAsia" w:ascii="Times New Roman" w:hAnsi="Times New Roman" w:eastAsia="宋体"/>
          <w:sz w:val="24"/>
          <w:szCs w:val="24"/>
        </w:rPr>
        <w:t>（1）开标一览表；</w:t>
      </w:r>
    </w:p>
    <w:p>
      <w:pPr>
        <w:pStyle w:val="114"/>
        <w:spacing w:line="440" w:lineRule="exact"/>
        <w:ind w:left="899" w:leftChars="428" w:firstLine="7" w:firstLineChars="3"/>
        <w:rPr>
          <w:rFonts w:ascii="Times New Roman" w:hAnsi="Times New Roman" w:eastAsia="宋体"/>
          <w:sz w:val="24"/>
          <w:szCs w:val="24"/>
        </w:rPr>
      </w:pPr>
      <w:r>
        <w:rPr>
          <w:rFonts w:hint="eastAsia" w:ascii="Times New Roman" w:hAnsi="Times New Roman" w:eastAsia="宋体"/>
          <w:sz w:val="24"/>
          <w:szCs w:val="24"/>
        </w:rPr>
        <w:t>（2）法定代表人授权委托书；</w:t>
      </w:r>
    </w:p>
    <w:p>
      <w:pPr>
        <w:pStyle w:val="114"/>
        <w:spacing w:line="440" w:lineRule="exact"/>
        <w:ind w:left="899" w:leftChars="428" w:firstLine="7" w:firstLineChars="3"/>
        <w:rPr>
          <w:rFonts w:ascii="Times New Roman" w:hAnsi="Times New Roman" w:eastAsia="宋体"/>
          <w:sz w:val="24"/>
          <w:szCs w:val="24"/>
        </w:rPr>
      </w:pPr>
      <w:r>
        <w:rPr>
          <w:rFonts w:hint="eastAsia" w:ascii="Times New Roman" w:hAnsi="Times New Roman" w:eastAsia="宋体"/>
          <w:sz w:val="24"/>
          <w:szCs w:val="24"/>
        </w:rPr>
        <w:t>（3）被授权代表身份证（复印件加盖公章）。</w:t>
      </w:r>
    </w:p>
    <w:p>
      <w:pPr>
        <w:pStyle w:val="114"/>
        <w:spacing w:line="440" w:lineRule="exact"/>
        <w:ind w:left="899" w:leftChars="428" w:firstLine="7" w:firstLineChars="3"/>
        <w:rPr>
          <w:rFonts w:ascii="Times New Roman" w:hAnsi="Times New Roman" w:eastAsia="宋体"/>
          <w:sz w:val="24"/>
        </w:rPr>
      </w:pPr>
      <w:r>
        <w:rPr>
          <w:rFonts w:hint="eastAsia" w:ascii="Times New Roman" w:hAnsi="Times New Roman" w:eastAsia="宋体"/>
          <w:sz w:val="24"/>
        </w:rPr>
        <w:t xml:space="preserve">（4）投标保证金汇入情况说明； </w:t>
      </w:r>
    </w:p>
    <w:p>
      <w:pPr>
        <w:pStyle w:val="114"/>
        <w:spacing w:line="440" w:lineRule="exact"/>
        <w:ind w:left="899" w:leftChars="428" w:firstLine="7" w:firstLineChars="3"/>
        <w:rPr>
          <w:rFonts w:ascii="Times New Roman" w:hAnsi="Times New Roman" w:eastAsia="宋体"/>
          <w:sz w:val="24"/>
        </w:rPr>
      </w:pPr>
      <w:r>
        <w:rPr>
          <w:rFonts w:hint="eastAsia" w:ascii="Times New Roman" w:hAnsi="Times New Roman" w:eastAsia="宋体"/>
          <w:sz w:val="24"/>
        </w:rPr>
        <w:t>（5）投标保证金汇款底单（复印件加盖公章）。</w:t>
      </w:r>
    </w:p>
    <w:p>
      <w:pPr>
        <w:numPr>
          <w:ilvl w:val="1"/>
          <w:numId w:val="18"/>
        </w:numPr>
        <w:spacing w:line="440" w:lineRule="exact"/>
        <w:rPr>
          <w:sz w:val="24"/>
        </w:rPr>
      </w:pPr>
      <w:r>
        <w:rPr>
          <w:rFonts w:hint="eastAsia"/>
          <w:sz w:val="24"/>
        </w:rPr>
        <w:t>供应商应如实详细提供第12.1款所要求的全部资料，“唱标信封”必须单独制作并封装，唱标信封中应包括：开标一览表、法定代表人授权委托书、被授权代表身份证复印件、投标保证金汇入情况说明、投标保证金汇款底单（以上资料需加盖公章）。在提交书面投标文件的同时，应提交该投标文件的电子文档（电子文件用CD-R/DVD-R光盘或U盘储存，包装上注明投标人名字及项目名称、编号），电子文件随正本提交。</w:t>
      </w:r>
    </w:p>
    <w:p>
      <w:pPr>
        <w:numPr>
          <w:ilvl w:val="1"/>
          <w:numId w:val="18"/>
        </w:numPr>
        <w:spacing w:line="440" w:lineRule="exact"/>
        <w:rPr>
          <w:sz w:val="24"/>
        </w:rPr>
      </w:pPr>
      <w:r>
        <w:rPr>
          <w:rFonts w:hint="eastAsia"/>
          <w:sz w:val="24"/>
        </w:rPr>
        <w:t xml:space="preserve">对招标文件“用户需求”部分作出书面响应，包括但不限于招标时主要需求等。 </w:t>
      </w:r>
    </w:p>
    <w:p>
      <w:pPr>
        <w:numPr>
          <w:ilvl w:val="0"/>
          <w:numId w:val="18"/>
        </w:numPr>
        <w:spacing w:before="120" w:beforeLines="50" w:after="120" w:afterLines="50" w:line="440" w:lineRule="exact"/>
        <w:outlineLvl w:val="2"/>
        <w:rPr>
          <w:b/>
          <w:sz w:val="24"/>
        </w:rPr>
      </w:pPr>
      <w:bookmarkStart w:id="86" w:name="_Toc10124641"/>
      <w:bookmarkStart w:id="87" w:name="_Toc521850221"/>
      <w:bookmarkStart w:id="88" w:name="_Toc317604616"/>
      <w:bookmarkStart w:id="89" w:name="_Toc170229644"/>
      <w:r>
        <w:rPr>
          <w:rFonts w:hint="eastAsia"/>
          <w:b/>
          <w:sz w:val="24"/>
        </w:rPr>
        <w:t>投标文件格式</w:t>
      </w:r>
      <w:bookmarkEnd w:id="86"/>
      <w:bookmarkEnd w:id="87"/>
      <w:bookmarkEnd w:id="88"/>
      <w:bookmarkEnd w:id="89"/>
    </w:p>
    <w:p>
      <w:pPr>
        <w:numPr>
          <w:ilvl w:val="1"/>
          <w:numId w:val="18"/>
        </w:numPr>
        <w:spacing w:line="440" w:lineRule="exact"/>
        <w:rPr>
          <w:sz w:val="24"/>
        </w:rPr>
      </w:pPr>
      <w:r>
        <w:rPr>
          <w:sz w:val="24"/>
        </w:rPr>
        <w:t>投标人提交的投标文件应当使用招标文件所提供的投标文件全部格式（表格可以按同样格式扩展）。</w:t>
      </w:r>
    </w:p>
    <w:p>
      <w:pPr>
        <w:numPr>
          <w:ilvl w:val="0"/>
          <w:numId w:val="18"/>
        </w:numPr>
        <w:spacing w:before="120" w:beforeLines="50" w:after="120" w:afterLines="50" w:line="440" w:lineRule="exact"/>
        <w:outlineLvl w:val="2"/>
        <w:rPr>
          <w:b/>
          <w:sz w:val="24"/>
        </w:rPr>
      </w:pPr>
      <w:bookmarkStart w:id="90" w:name="_Toc521850222"/>
      <w:bookmarkStart w:id="91" w:name="_Toc10124642"/>
      <w:bookmarkStart w:id="92" w:name="_Toc317604617"/>
      <w:bookmarkStart w:id="93" w:name="_Toc170229645"/>
      <w:r>
        <w:rPr>
          <w:b/>
          <w:sz w:val="24"/>
        </w:rPr>
        <w:t>投标文件的份数和签署</w:t>
      </w:r>
      <w:bookmarkEnd w:id="90"/>
      <w:bookmarkEnd w:id="91"/>
      <w:bookmarkEnd w:id="92"/>
      <w:bookmarkEnd w:id="93"/>
    </w:p>
    <w:p>
      <w:pPr>
        <w:numPr>
          <w:ilvl w:val="1"/>
          <w:numId w:val="18"/>
        </w:numPr>
        <w:spacing w:line="440" w:lineRule="exact"/>
        <w:rPr>
          <w:sz w:val="24"/>
        </w:rPr>
      </w:pPr>
      <w:r>
        <w:rPr>
          <w:rFonts w:hint="eastAsia"/>
          <w:sz w:val="24"/>
        </w:rPr>
        <w:t>投标文件份数：</w:t>
      </w:r>
      <w:r>
        <w:rPr>
          <w:rFonts w:hint="eastAsia"/>
          <w:b/>
          <w:i/>
          <w:sz w:val="24"/>
          <w:u w:val="single"/>
        </w:rPr>
        <w:t>详见投标人须知前附表。</w:t>
      </w:r>
    </w:p>
    <w:p>
      <w:pPr>
        <w:numPr>
          <w:ilvl w:val="1"/>
          <w:numId w:val="18"/>
        </w:numPr>
        <w:spacing w:line="440" w:lineRule="exact"/>
        <w:rPr>
          <w:sz w:val="24"/>
        </w:rPr>
      </w:pPr>
      <w:r>
        <w:rPr>
          <w:sz w:val="24"/>
        </w:rPr>
        <w:t>投标文件</w:t>
      </w:r>
      <w:r>
        <w:rPr>
          <w:rFonts w:hint="eastAsia"/>
          <w:sz w:val="24"/>
        </w:rPr>
        <w:t>正本均须用不褪色墨水书写或打印，投标文件副本的所有资料都可以用投标文件的正本复印而成，</w:t>
      </w:r>
      <w:r>
        <w:rPr>
          <w:sz w:val="24"/>
        </w:rPr>
        <w:t>并应在投标文件封面的右上角清楚地注明</w:t>
      </w:r>
      <w:r>
        <w:rPr>
          <w:rFonts w:hint="eastAsia"/>
          <w:sz w:val="24"/>
        </w:rPr>
        <w:t>“</w:t>
      </w:r>
      <w:r>
        <w:rPr>
          <w:sz w:val="24"/>
        </w:rPr>
        <w:t>正本</w:t>
      </w:r>
      <w:r>
        <w:rPr>
          <w:rFonts w:hint="eastAsia"/>
          <w:sz w:val="24"/>
        </w:rPr>
        <w:t>”</w:t>
      </w:r>
      <w:r>
        <w:rPr>
          <w:sz w:val="24"/>
        </w:rPr>
        <w:t>或</w:t>
      </w:r>
      <w:r>
        <w:rPr>
          <w:rFonts w:hint="eastAsia"/>
          <w:sz w:val="24"/>
        </w:rPr>
        <w:t>“</w:t>
      </w:r>
      <w:r>
        <w:rPr>
          <w:sz w:val="24"/>
        </w:rPr>
        <w:t>副本</w:t>
      </w:r>
      <w:r>
        <w:rPr>
          <w:rFonts w:hint="eastAsia"/>
          <w:sz w:val="24"/>
        </w:rPr>
        <w:t>”</w:t>
      </w:r>
      <w:r>
        <w:rPr>
          <w:sz w:val="24"/>
        </w:rPr>
        <w:t>。正本和副本如有不一致之处，以正本为准。</w:t>
      </w:r>
    </w:p>
    <w:p>
      <w:pPr>
        <w:numPr>
          <w:ilvl w:val="1"/>
          <w:numId w:val="18"/>
        </w:numPr>
        <w:spacing w:line="440" w:lineRule="exact"/>
        <w:rPr>
          <w:sz w:val="24"/>
        </w:rPr>
      </w:pPr>
      <w:r>
        <w:rPr>
          <w:rFonts w:hint="eastAsia"/>
          <w:sz w:val="24"/>
        </w:rPr>
        <w:t>投标</w:t>
      </w:r>
      <w:r>
        <w:rPr>
          <w:rFonts w:hint="eastAsia" w:ascii="Time New Roma" w:hAnsi="Time New Roma"/>
          <w:sz w:val="24"/>
        </w:rPr>
        <w:t>文件正本封面及骑缝均需加盖投标人公章，投标文件副本封面需加盖投标人公章，文件正本主要内容【</w:t>
      </w:r>
      <w:r>
        <w:rPr>
          <w:rFonts w:hint="eastAsia" w:ascii="Time New Roma" w:hAnsi="Time New Roma"/>
          <w:b/>
          <w:sz w:val="24"/>
        </w:rPr>
        <w:t>招标文件格式中要求法定代表人或授权委托人签字的内容和加盖投标人公章</w:t>
      </w:r>
      <w:r>
        <w:rPr>
          <w:rFonts w:hint="eastAsia" w:ascii="Time New Roma" w:hAnsi="Time New Roma"/>
          <w:sz w:val="24"/>
        </w:rPr>
        <w:t>】应由投标人的法定代表人或授权委托人签字（或盖章）和加盖投标人公章</w:t>
      </w:r>
      <w:r>
        <w:rPr>
          <w:rFonts w:hint="eastAsia"/>
          <w:sz w:val="24"/>
        </w:rPr>
        <w:t>。</w:t>
      </w:r>
    </w:p>
    <w:p>
      <w:pPr>
        <w:numPr>
          <w:ilvl w:val="1"/>
          <w:numId w:val="18"/>
        </w:numPr>
        <w:spacing w:line="440" w:lineRule="exact"/>
        <w:rPr>
          <w:sz w:val="24"/>
        </w:rPr>
      </w:pPr>
      <w:r>
        <w:rPr>
          <w:sz w:val="24"/>
        </w:rPr>
        <w:t>除投标人对错误处修改外，全套投标文件应无涂改或行间插字和增删。如有修改，修改处应由投标人加盖投标人的</w:t>
      </w:r>
      <w:r>
        <w:rPr>
          <w:rFonts w:hint="eastAsia"/>
          <w:sz w:val="24"/>
        </w:rPr>
        <w:t>公</w:t>
      </w:r>
      <w:r>
        <w:rPr>
          <w:sz w:val="24"/>
        </w:rPr>
        <w:t>章或由</w:t>
      </w:r>
      <w:r>
        <w:rPr>
          <w:rFonts w:hint="eastAsia"/>
          <w:sz w:val="24"/>
        </w:rPr>
        <w:t>授权委托人</w:t>
      </w:r>
      <w:r>
        <w:rPr>
          <w:sz w:val="24"/>
        </w:rPr>
        <w:t>签字。</w:t>
      </w:r>
    </w:p>
    <w:p>
      <w:pPr>
        <w:numPr>
          <w:ilvl w:val="1"/>
          <w:numId w:val="18"/>
        </w:numPr>
        <w:spacing w:line="440" w:lineRule="exact"/>
        <w:rPr>
          <w:sz w:val="24"/>
        </w:rPr>
      </w:pPr>
      <w:r>
        <w:rPr>
          <w:rFonts w:hint="eastAsia"/>
          <w:sz w:val="24"/>
        </w:rPr>
        <w:t>传真或电传的投标文件将被拒绝。</w:t>
      </w:r>
    </w:p>
    <w:p>
      <w:pPr>
        <w:numPr>
          <w:ilvl w:val="0"/>
          <w:numId w:val="18"/>
        </w:numPr>
        <w:spacing w:before="120" w:beforeLines="50" w:after="120" w:afterLines="50" w:line="440" w:lineRule="exact"/>
        <w:outlineLvl w:val="2"/>
        <w:rPr>
          <w:b/>
          <w:sz w:val="24"/>
        </w:rPr>
      </w:pPr>
      <w:bookmarkStart w:id="94" w:name="_Toc10124643"/>
      <w:bookmarkStart w:id="95" w:name="_Toc317604618"/>
      <w:bookmarkStart w:id="96" w:name="_Toc521850223"/>
      <w:bookmarkStart w:id="97" w:name="_Toc170229646"/>
      <w:r>
        <w:rPr>
          <w:rFonts w:hint="eastAsia"/>
          <w:b/>
          <w:sz w:val="24"/>
        </w:rPr>
        <w:t>投标报价说明</w:t>
      </w:r>
      <w:bookmarkEnd w:id="94"/>
      <w:bookmarkEnd w:id="95"/>
      <w:bookmarkEnd w:id="96"/>
      <w:bookmarkEnd w:id="97"/>
    </w:p>
    <w:p>
      <w:pPr>
        <w:numPr>
          <w:ilvl w:val="1"/>
          <w:numId w:val="18"/>
        </w:numPr>
        <w:spacing w:line="440" w:lineRule="exact"/>
        <w:rPr>
          <w:sz w:val="24"/>
        </w:rPr>
      </w:pPr>
      <w:r>
        <w:rPr>
          <w:rFonts w:hint="eastAsia"/>
          <w:sz w:val="24"/>
        </w:rPr>
        <w:t>投标人应报完成全部用户需求书内容含税人民币价格。投标人应按用户需求书中所列每个单项逐项报价，每项货物及服务只能有一个投标报价。</w:t>
      </w:r>
    </w:p>
    <w:p>
      <w:pPr>
        <w:numPr>
          <w:ilvl w:val="1"/>
          <w:numId w:val="18"/>
        </w:numPr>
        <w:spacing w:line="440" w:lineRule="exact"/>
        <w:rPr>
          <w:sz w:val="24"/>
        </w:rPr>
      </w:pPr>
      <w:r>
        <w:rPr>
          <w:rFonts w:hint="eastAsia"/>
          <w:sz w:val="24"/>
        </w:rPr>
        <w:t>投标人所报的投标价应当包含各种税务费、所提供货物或服务所需的专利权和版权、设计或其他知识产权而需要向其他方支付的版税及合同实施过程中的应预见和不可预见费用等完成合同规定责任和义务、达到合同目的全部费用，并且在合同执行期间是固定不变的，不得以任何理由予以变更。以可调整的价格提交的投标文件将作为非响应性投标作投标无效处理。</w:t>
      </w:r>
    </w:p>
    <w:p>
      <w:pPr>
        <w:numPr>
          <w:ilvl w:val="1"/>
          <w:numId w:val="18"/>
        </w:numPr>
        <w:spacing w:line="440" w:lineRule="exact"/>
        <w:rPr>
          <w:sz w:val="24"/>
        </w:rPr>
      </w:pPr>
      <w:r>
        <w:rPr>
          <w:rFonts w:hint="eastAsia"/>
          <w:sz w:val="24"/>
        </w:rPr>
        <w:t>本次招标，供应商必须对全部内容进行报价，少报无效。</w:t>
      </w:r>
    </w:p>
    <w:p>
      <w:pPr>
        <w:numPr>
          <w:ilvl w:val="1"/>
          <w:numId w:val="18"/>
        </w:numPr>
        <w:spacing w:line="440" w:lineRule="exact"/>
        <w:rPr>
          <w:sz w:val="24"/>
        </w:rPr>
      </w:pPr>
      <w:r>
        <w:rPr>
          <w:rFonts w:hint="eastAsia"/>
          <w:sz w:val="24"/>
        </w:rPr>
        <w:t>如果投标人对于采购文件或答疑文件中为满足技术要求中所提供的服务或货物有未报价或漏报、错报、缺报等情况，可以视其为投标人予以采购人的投标优惠报价，中标后不予调整。如果投标人不接受对其错误的更正，作投标无效处理。</w:t>
      </w:r>
    </w:p>
    <w:p>
      <w:pPr>
        <w:numPr>
          <w:ilvl w:val="1"/>
          <w:numId w:val="18"/>
        </w:numPr>
        <w:spacing w:line="440" w:lineRule="exact"/>
        <w:rPr>
          <w:sz w:val="24"/>
        </w:rPr>
      </w:pPr>
      <w:r>
        <w:rPr>
          <w:rFonts w:hint="eastAsia"/>
          <w:sz w:val="24"/>
        </w:rPr>
        <w:t>中标人开出的所有发票都须与中标人的名称一致。</w:t>
      </w:r>
    </w:p>
    <w:p>
      <w:pPr>
        <w:numPr>
          <w:ilvl w:val="0"/>
          <w:numId w:val="18"/>
        </w:numPr>
        <w:spacing w:before="120" w:beforeLines="50" w:after="120" w:afterLines="50" w:line="440" w:lineRule="exact"/>
        <w:outlineLvl w:val="2"/>
        <w:rPr>
          <w:b/>
          <w:sz w:val="24"/>
        </w:rPr>
      </w:pPr>
      <w:bookmarkStart w:id="98" w:name="_Toc317604619"/>
      <w:bookmarkStart w:id="99" w:name="_Toc170229647"/>
      <w:bookmarkStart w:id="100" w:name="_Toc10124644"/>
      <w:bookmarkStart w:id="101" w:name="_Toc521850224"/>
      <w:r>
        <w:rPr>
          <w:rFonts w:hint="eastAsia"/>
          <w:b/>
          <w:sz w:val="24"/>
        </w:rPr>
        <w:t>投标货币</w:t>
      </w:r>
      <w:bookmarkEnd w:id="98"/>
      <w:bookmarkEnd w:id="99"/>
      <w:bookmarkEnd w:id="100"/>
      <w:bookmarkEnd w:id="101"/>
    </w:p>
    <w:p>
      <w:pPr>
        <w:numPr>
          <w:ilvl w:val="1"/>
          <w:numId w:val="18"/>
        </w:numPr>
        <w:spacing w:line="440" w:lineRule="exact"/>
        <w:rPr>
          <w:sz w:val="24"/>
        </w:rPr>
      </w:pPr>
      <w:r>
        <w:rPr>
          <w:rFonts w:hint="eastAsia"/>
          <w:sz w:val="24"/>
        </w:rPr>
        <w:t>投标人提供的货物或服务价格必须用人民币报价。</w:t>
      </w:r>
    </w:p>
    <w:p>
      <w:pPr>
        <w:numPr>
          <w:ilvl w:val="0"/>
          <w:numId w:val="18"/>
        </w:numPr>
        <w:spacing w:before="120" w:beforeLines="50" w:after="120" w:afterLines="50" w:line="440" w:lineRule="exact"/>
        <w:outlineLvl w:val="2"/>
        <w:rPr>
          <w:b/>
          <w:sz w:val="24"/>
        </w:rPr>
      </w:pPr>
      <w:bookmarkStart w:id="102" w:name="_Toc317604620"/>
      <w:bookmarkStart w:id="103" w:name="_Toc521850225"/>
      <w:bookmarkStart w:id="104" w:name="_Toc170229648"/>
      <w:bookmarkStart w:id="105" w:name="_Toc10124645"/>
      <w:r>
        <w:rPr>
          <w:b/>
          <w:sz w:val="24"/>
        </w:rPr>
        <w:t>投标有效期</w:t>
      </w:r>
      <w:bookmarkEnd w:id="102"/>
      <w:bookmarkEnd w:id="103"/>
      <w:bookmarkEnd w:id="104"/>
      <w:bookmarkEnd w:id="105"/>
    </w:p>
    <w:p>
      <w:pPr>
        <w:numPr>
          <w:ilvl w:val="1"/>
          <w:numId w:val="18"/>
        </w:numPr>
        <w:spacing w:line="440" w:lineRule="exact"/>
        <w:rPr>
          <w:sz w:val="24"/>
        </w:rPr>
      </w:pPr>
      <w:bookmarkStart w:id="106" w:name="_Ref179620893"/>
      <w:r>
        <w:rPr>
          <w:rFonts w:hint="eastAsia"/>
          <w:sz w:val="24"/>
        </w:rPr>
        <w:t>投标应自</w:t>
      </w:r>
      <w:r>
        <w:rPr>
          <w:rFonts w:hint="eastAsia"/>
          <w:b/>
          <w:i/>
          <w:sz w:val="24"/>
          <w:u w:val="single"/>
        </w:rPr>
        <w:t>投标邀请</w:t>
      </w:r>
      <w:r>
        <w:rPr>
          <w:rFonts w:hint="eastAsia"/>
          <w:sz w:val="24"/>
        </w:rPr>
        <w:t>中规定的开标日起，并在</w:t>
      </w:r>
      <w:r>
        <w:rPr>
          <w:rFonts w:hint="eastAsia"/>
          <w:b/>
          <w:i/>
          <w:sz w:val="24"/>
          <w:u w:val="single"/>
        </w:rPr>
        <w:t>投标人须知前附表</w:t>
      </w:r>
      <w:r>
        <w:rPr>
          <w:rFonts w:hint="eastAsia"/>
          <w:sz w:val="24"/>
        </w:rPr>
        <w:t>中所述期限内保持有效。投标有效期不足的投标将被视为非实质性响应</w:t>
      </w:r>
      <w:bookmarkEnd w:id="106"/>
      <w:r>
        <w:rPr>
          <w:rFonts w:hint="eastAsia"/>
          <w:sz w:val="24"/>
        </w:rPr>
        <w:t>，作投标无效处理。</w:t>
      </w:r>
    </w:p>
    <w:p>
      <w:pPr>
        <w:numPr>
          <w:ilvl w:val="1"/>
          <w:numId w:val="18"/>
        </w:numPr>
        <w:spacing w:line="440" w:lineRule="exact"/>
        <w:rPr>
          <w:sz w:val="24"/>
        </w:rPr>
      </w:pPr>
      <w:r>
        <w:rPr>
          <w:rFonts w:hint="eastAsia"/>
          <w:sz w:val="24"/>
        </w:rPr>
        <w:t>特殊情况下，在原有投标有效期截止之前，采购代理机构可要求投标人同意延长投标有效期。这种要求与答复均应以书面形式提交。投标人可拒绝采购代理机构的这种要求。接受投标有效期延长的投标人将不会被要求和允许修正其投标文件，而只会被要求相应地延长其投标保证金的有效期。在这种情况下，根据投标人须知有关投标保证金将在延长了的有效期内继续有效。</w:t>
      </w:r>
    </w:p>
    <w:p>
      <w:pPr>
        <w:numPr>
          <w:ilvl w:val="0"/>
          <w:numId w:val="18"/>
        </w:numPr>
        <w:spacing w:before="120" w:beforeLines="50" w:after="120" w:afterLines="50" w:line="440" w:lineRule="exact"/>
        <w:outlineLvl w:val="2"/>
        <w:rPr>
          <w:b/>
          <w:sz w:val="24"/>
        </w:rPr>
      </w:pPr>
      <w:bookmarkStart w:id="107" w:name="_Toc521324718"/>
      <w:bookmarkStart w:id="108" w:name="_Toc521850226"/>
      <w:bookmarkStart w:id="109" w:name="_Toc10124646"/>
      <w:bookmarkStart w:id="110" w:name="_Toc495324363"/>
      <w:bookmarkStart w:id="111" w:name="_Toc170229649"/>
      <w:bookmarkStart w:id="112" w:name="_Toc317604622"/>
      <w:r>
        <w:rPr>
          <w:rFonts w:hint="eastAsia"/>
          <w:b/>
          <w:sz w:val="24"/>
        </w:rPr>
        <w:t>投标保证金</w:t>
      </w:r>
      <w:bookmarkEnd w:id="107"/>
      <w:bookmarkEnd w:id="108"/>
      <w:bookmarkEnd w:id="109"/>
      <w:bookmarkEnd w:id="110"/>
      <w:bookmarkEnd w:id="111"/>
    </w:p>
    <w:p>
      <w:pPr>
        <w:numPr>
          <w:ilvl w:val="1"/>
          <w:numId w:val="18"/>
        </w:numPr>
        <w:spacing w:line="440" w:lineRule="exact"/>
        <w:rPr>
          <w:sz w:val="24"/>
        </w:rPr>
      </w:pPr>
      <w:r>
        <w:rPr>
          <w:rFonts w:hint="eastAsia"/>
          <w:kern w:val="0"/>
          <w:sz w:val="24"/>
        </w:rPr>
        <w:t>投标保证金作为其投标文件的一部分。</w:t>
      </w:r>
    </w:p>
    <w:p>
      <w:pPr>
        <w:numPr>
          <w:ilvl w:val="1"/>
          <w:numId w:val="18"/>
        </w:numPr>
        <w:spacing w:line="440" w:lineRule="exact"/>
        <w:rPr>
          <w:sz w:val="24"/>
        </w:rPr>
      </w:pPr>
      <w:r>
        <w:rPr>
          <w:rFonts w:hint="eastAsia"/>
          <w:sz w:val="24"/>
        </w:rPr>
        <w:t>投标保证金是为了保护采购代理机构和采购人免遭因投标人的行为而蒙受损失。</w:t>
      </w:r>
    </w:p>
    <w:p>
      <w:pPr>
        <w:numPr>
          <w:ilvl w:val="1"/>
          <w:numId w:val="18"/>
        </w:numPr>
        <w:spacing w:line="440" w:lineRule="exact"/>
        <w:rPr>
          <w:b/>
          <w:sz w:val="24"/>
        </w:rPr>
      </w:pPr>
      <w:r>
        <w:rPr>
          <w:rFonts w:hint="eastAsia"/>
          <w:b/>
          <w:sz w:val="24"/>
        </w:rPr>
        <w:t>投标人应按要求提交投标保证金，投标人必须采用支票、汇票、本票、银行转账或《政府采购投标担保函》等非现金形式缴交，投标人与交款人名称必须一致，非投标人缴纳的投标保证金无效。</w:t>
      </w:r>
    </w:p>
    <w:p>
      <w:pPr>
        <w:numPr>
          <w:ilvl w:val="1"/>
          <w:numId w:val="18"/>
        </w:numPr>
        <w:spacing w:line="440" w:lineRule="exact"/>
        <w:rPr>
          <w:sz w:val="24"/>
        </w:rPr>
      </w:pPr>
      <w:r>
        <w:rPr>
          <w:rFonts w:hint="eastAsia"/>
          <w:sz w:val="24"/>
        </w:rPr>
        <w:t>投标保证金以银行划账形式提交，应符合下列规定：</w:t>
      </w:r>
    </w:p>
    <w:p>
      <w:pPr>
        <w:numPr>
          <w:ilvl w:val="2"/>
          <w:numId w:val="18"/>
        </w:numPr>
        <w:spacing w:line="440" w:lineRule="exact"/>
        <w:rPr>
          <w:b/>
          <w:sz w:val="28"/>
        </w:rPr>
      </w:pPr>
      <w:r>
        <w:rPr>
          <w:sz w:val="24"/>
        </w:rPr>
        <w:t>投标</w:t>
      </w:r>
      <w:r>
        <w:rPr>
          <w:rFonts w:hint="eastAsia"/>
          <w:sz w:val="24"/>
        </w:rPr>
        <w:t>保证金金额及账户信息：</w:t>
      </w:r>
      <w:r>
        <w:rPr>
          <w:rFonts w:hint="eastAsia"/>
          <w:b/>
          <w:i/>
          <w:sz w:val="24"/>
          <w:u w:val="single"/>
        </w:rPr>
        <w:t>详见投标人须知前附表</w:t>
      </w:r>
      <w:r>
        <w:rPr>
          <w:rFonts w:hint="eastAsia"/>
          <w:kern w:val="0"/>
          <w:sz w:val="24"/>
        </w:rPr>
        <w:t>。</w:t>
      </w:r>
    </w:p>
    <w:p>
      <w:pPr>
        <w:numPr>
          <w:ilvl w:val="2"/>
          <w:numId w:val="18"/>
        </w:numPr>
        <w:spacing w:line="440" w:lineRule="exact"/>
        <w:rPr>
          <w:sz w:val="24"/>
        </w:rPr>
      </w:pPr>
      <w:r>
        <w:rPr>
          <w:rFonts w:hint="eastAsia"/>
          <w:sz w:val="24"/>
        </w:rPr>
        <w:t>投标人必须保证资金以其投标人的名称（以分公司或子公司汇款无效）在递交投标文件时间截止前汇入到保证金专用账户（以银行到账为准），可采用银行转账方式提交，但不可以采用现金方式（包括以存现方式）提交，未按要求提交投标保证金的将作投标无效处理。</w:t>
      </w:r>
    </w:p>
    <w:p>
      <w:pPr>
        <w:numPr>
          <w:ilvl w:val="2"/>
          <w:numId w:val="18"/>
        </w:numPr>
        <w:spacing w:line="440" w:lineRule="exact"/>
        <w:rPr>
          <w:sz w:val="24"/>
        </w:rPr>
      </w:pPr>
      <w:r>
        <w:rPr>
          <w:rFonts w:hint="eastAsia"/>
          <w:sz w:val="24"/>
        </w:rPr>
        <w:t>如项目出现分包情况的，投标人必须按包号分别提交投标保证金。</w:t>
      </w:r>
    </w:p>
    <w:p>
      <w:pPr>
        <w:numPr>
          <w:ilvl w:val="1"/>
          <w:numId w:val="18"/>
        </w:numPr>
        <w:spacing w:line="440" w:lineRule="exact"/>
        <w:rPr>
          <w:sz w:val="24"/>
        </w:rPr>
      </w:pPr>
      <w:r>
        <w:rPr>
          <w:rFonts w:hint="eastAsia"/>
          <w:sz w:val="24"/>
        </w:rPr>
        <w:t>采用《政府采购投标担保函》</w:t>
      </w:r>
      <w:r>
        <w:rPr>
          <w:rFonts w:hint="eastAsia"/>
          <w:b/>
          <w:i/>
          <w:sz w:val="24"/>
          <w:u w:val="single"/>
        </w:rPr>
        <w:t>（格式详见附件）</w:t>
      </w:r>
      <w:r>
        <w:rPr>
          <w:rFonts w:hint="eastAsia"/>
          <w:sz w:val="24"/>
        </w:rPr>
        <w:t>提交的，应符合下列规定：</w:t>
      </w:r>
    </w:p>
    <w:p>
      <w:pPr>
        <w:pStyle w:val="114"/>
        <w:spacing w:line="440" w:lineRule="exact"/>
        <w:ind w:left="899" w:leftChars="428" w:firstLine="0" w:firstLineChars="0"/>
        <w:rPr>
          <w:rFonts w:ascii="Times New Roman" w:hAnsi="Times New Roman" w:eastAsia="宋体"/>
          <w:sz w:val="24"/>
          <w:szCs w:val="24"/>
        </w:rPr>
      </w:pPr>
      <w:r>
        <w:rPr>
          <w:rFonts w:hint="eastAsia" w:ascii="Times New Roman" w:hAnsi="Times New Roman"/>
          <w:sz w:val="24"/>
        </w:rPr>
        <w:t>①</w:t>
      </w:r>
      <w:r>
        <w:rPr>
          <w:rFonts w:hint="eastAsia" w:ascii="Times New Roman" w:hAnsi="Times New Roman" w:eastAsia="宋体"/>
          <w:sz w:val="24"/>
          <w:szCs w:val="24"/>
        </w:rPr>
        <w:t>符合国家规定的金融机构或专业担保机构出具；</w:t>
      </w:r>
    </w:p>
    <w:p>
      <w:pPr>
        <w:pStyle w:val="114"/>
        <w:spacing w:line="440" w:lineRule="exact"/>
        <w:ind w:left="899" w:leftChars="428" w:firstLine="0" w:firstLineChars="0"/>
        <w:rPr>
          <w:rFonts w:ascii="Times New Roman" w:hAnsi="Times New Roman" w:eastAsia="宋体"/>
          <w:sz w:val="24"/>
          <w:szCs w:val="24"/>
        </w:rPr>
      </w:pPr>
      <w:r>
        <w:rPr>
          <w:rFonts w:hint="eastAsia" w:ascii="Times New Roman" w:hAnsi="Times New Roman" w:eastAsia="宋体"/>
          <w:sz w:val="24"/>
          <w:szCs w:val="24"/>
        </w:rPr>
        <w:t>②投标担保函有效期应与投标有效期一致；</w:t>
      </w:r>
    </w:p>
    <w:p>
      <w:pPr>
        <w:pStyle w:val="114"/>
        <w:spacing w:line="440" w:lineRule="exact"/>
        <w:ind w:left="899" w:leftChars="428" w:firstLine="0" w:firstLineChars="0"/>
        <w:rPr>
          <w:rFonts w:ascii="Times New Roman" w:hAnsi="Times New Roman" w:eastAsia="宋体"/>
          <w:b/>
          <w:sz w:val="24"/>
          <w:szCs w:val="24"/>
        </w:rPr>
      </w:pPr>
      <w:r>
        <w:rPr>
          <w:rFonts w:hint="eastAsia" w:ascii="Times New Roman" w:hAnsi="Times New Roman" w:eastAsia="宋体"/>
          <w:sz w:val="24"/>
          <w:szCs w:val="24"/>
        </w:rPr>
        <w:t>③《政府采购投标担保函》必须在递交投标文件时间截止前提交，未按要求提交投标保证金的将作投标无效处理。</w:t>
      </w:r>
    </w:p>
    <w:p>
      <w:pPr>
        <w:numPr>
          <w:ilvl w:val="1"/>
          <w:numId w:val="18"/>
        </w:numPr>
        <w:spacing w:line="440" w:lineRule="exact"/>
        <w:rPr>
          <w:sz w:val="24"/>
        </w:rPr>
      </w:pPr>
      <w:r>
        <w:rPr>
          <w:rFonts w:hint="eastAsia"/>
          <w:sz w:val="24"/>
        </w:rPr>
        <w:t>对于未能按要求提交投标保证金的投标，采购代理机构将视为不响应招标文件作投标无效处理。</w:t>
      </w:r>
    </w:p>
    <w:p>
      <w:pPr>
        <w:numPr>
          <w:ilvl w:val="1"/>
          <w:numId w:val="18"/>
        </w:numPr>
        <w:spacing w:line="440" w:lineRule="exact"/>
        <w:rPr>
          <w:sz w:val="24"/>
        </w:rPr>
      </w:pPr>
      <w:r>
        <w:rPr>
          <w:rFonts w:hint="eastAsia"/>
          <w:sz w:val="24"/>
        </w:rPr>
        <w:t>没中标的投标人，其</w:t>
      </w:r>
      <w:r>
        <w:rPr>
          <w:sz w:val="24"/>
        </w:rPr>
        <w:t>投标保证金将</w:t>
      </w:r>
      <w:r>
        <w:rPr>
          <w:rFonts w:hint="eastAsia"/>
          <w:sz w:val="24"/>
        </w:rPr>
        <w:t>在中标通知书发出后，5个工作日内办理退款手续（不计利息）。</w:t>
      </w:r>
    </w:p>
    <w:p>
      <w:pPr>
        <w:numPr>
          <w:ilvl w:val="1"/>
          <w:numId w:val="18"/>
        </w:numPr>
        <w:spacing w:line="440" w:lineRule="exact"/>
        <w:rPr>
          <w:sz w:val="24"/>
        </w:rPr>
      </w:pPr>
      <w:r>
        <w:rPr>
          <w:sz w:val="24"/>
        </w:rPr>
        <w:t>中标人的投标保证金，在</w:t>
      </w:r>
      <w:r>
        <w:rPr>
          <w:rFonts w:hint="eastAsia"/>
          <w:sz w:val="24"/>
        </w:rPr>
        <w:t>采购合同签订后，5个工作日内办理退款手续（不计利息）。</w:t>
      </w:r>
    </w:p>
    <w:p>
      <w:pPr>
        <w:numPr>
          <w:ilvl w:val="1"/>
          <w:numId w:val="18"/>
        </w:numPr>
        <w:spacing w:line="440" w:lineRule="exact"/>
        <w:rPr>
          <w:sz w:val="24"/>
        </w:rPr>
      </w:pPr>
      <w:r>
        <w:rPr>
          <w:sz w:val="24"/>
        </w:rPr>
        <w:t>如投标人发生下列情况之一时，投标保证金将被没收：</w:t>
      </w:r>
    </w:p>
    <w:p>
      <w:pPr>
        <w:numPr>
          <w:ilvl w:val="2"/>
          <w:numId w:val="18"/>
        </w:numPr>
        <w:spacing w:line="440" w:lineRule="exact"/>
        <w:rPr>
          <w:sz w:val="24"/>
        </w:rPr>
      </w:pPr>
      <w:r>
        <w:rPr>
          <w:rFonts w:hint="eastAsia"/>
          <w:sz w:val="24"/>
        </w:rPr>
        <w:t>投标人在招标文件中规定的投标有效期内撤销投标文件；</w:t>
      </w:r>
    </w:p>
    <w:p>
      <w:pPr>
        <w:numPr>
          <w:ilvl w:val="2"/>
          <w:numId w:val="18"/>
        </w:numPr>
        <w:spacing w:line="440" w:lineRule="exact"/>
        <w:rPr>
          <w:sz w:val="24"/>
        </w:rPr>
      </w:pPr>
      <w:r>
        <w:rPr>
          <w:rFonts w:hint="eastAsia"/>
          <w:sz w:val="24"/>
        </w:rPr>
        <w:t>提供虚假投标文件或虚假补充文件的，或经采购监督管理部门审查认定投标人有违反《中华人民共和国政府采购法》等有关法规的行为；</w:t>
      </w:r>
    </w:p>
    <w:p>
      <w:pPr>
        <w:numPr>
          <w:ilvl w:val="2"/>
          <w:numId w:val="18"/>
        </w:numPr>
        <w:spacing w:line="440" w:lineRule="exact"/>
        <w:rPr>
          <w:sz w:val="24"/>
        </w:rPr>
      </w:pPr>
      <w:r>
        <w:rPr>
          <w:rFonts w:hint="eastAsia"/>
          <w:sz w:val="24"/>
        </w:rPr>
        <w:t>中标人无正当理由不与采购人签订采购合同的；</w:t>
      </w:r>
    </w:p>
    <w:p>
      <w:pPr>
        <w:numPr>
          <w:ilvl w:val="2"/>
          <w:numId w:val="18"/>
        </w:numPr>
        <w:spacing w:line="440" w:lineRule="exact"/>
        <w:rPr>
          <w:sz w:val="24"/>
        </w:rPr>
      </w:pPr>
      <w:r>
        <w:rPr>
          <w:rFonts w:hint="eastAsia"/>
          <w:sz w:val="24"/>
        </w:rPr>
        <w:t>中标人将政府采购合同转包的；</w:t>
      </w:r>
    </w:p>
    <w:p>
      <w:pPr>
        <w:numPr>
          <w:ilvl w:val="2"/>
          <w:numId w:val="18"/>
        </w:numPr>
        <w:spacing w:line="440" w:lineRule="exact"/>
        <w:rPr>
          <w:sz w:val="24"/>
        </w:rPr>
      </w:pPr>
      <w:r>
        <w:rPr>
          <w:rFonts w:hint="eastAsia"/>
          <w:sz w:val="24"/>
        </w:rPr>
        <w:t>法律法规规定的其他情况。</w:t>
      </w:r>
    </w:p>
    <w:p>
      <w:pPr>
        <w:spacing w:before="240" w:beforeLines="100" w:after="240" w:afterLines="100" w:line="440" w:lineRule="exact"/>
        <w:jc w:val="center"/>
        <w:outlineLvl w:val="1"/>
        <w:rPr>
          <w:b/>
          <w:bCs/>
          <w:sz w:val="44"/>
          <w:szCs w:val="44"/>
        </w:rPr>
      </w:pPr>
      <w:bookmarkStart w:id="113" w:name="_Toc10124647"/>
      <w:bookmarkStart w:id="114" w:name="_Toc521850227"/>
      <w:bookmarkStart w:id="115" w:name="_Toc170229650"/>
      <w:r>
        <w:rPr>
          <w:rFonts w:hint="eastAsia"/>
          <w:b/>
          <w:bCs/>
          <w:sz w:val="44"/>
          <w:szCs w:val="44"/>
        </w:rPr>
        <w:t>四、投标文件的递交</w:t>
      </w:r>
      <w:bookmarkEnd w:id="112"/>
      <w:bookmarkEnd w:id="113"/>
      <w:bookmarkEnd w:id="114"/>
      <w:bookmarkEnd w:id="115"/>
    </w:p>
    <w:p>
      <w:pPr>
        <w:numPr>
          <w:ilvl w:val="0"/>
          <w:numId w:val="18"/>
        </w:numPr>
        <w:spacing w:before="120" w:beforeLines="50" w:after="120" w:afterLines="50" w:line="440" w:lineRule="exact"/>
        <w:outlineLvl w:val="2"/>
        <w:rPr>
          <w:b/>
          <w:sz w:val="24"/>
        </w:rPr>
      </w:pPr>
      <w:bookmarkStart w:id="116" w:name="_Toc10124648"/>
      <w:bookmarkStart w:id="117" w:name="_Toc521850228"/>
      <w:bookmarkStart w:id="118" w:name="_Toc170229651"/>
      <w:bookmarkStart w:id="119" w:name="_Toc317604623"/>
      <w:r>
        <w:rPr>
          <w:b/>
          <w:sz w:val="24"/>
        </w:rPr>
        <w:t>投标文件的装订、密封和标记</w:t>
      </w:r>
      <w:bookmarkEnd w:id="116"/>
      <w:bookmarkEnd w:id="117"/>
      <w:bookmarkEnd w:id="118"/>
      <w:bookmarkEnd w:id="119"/>
    </w:p>
    <w:p>
      <w:pPr>
        <w:numPr>
          <w:ilvl w:val="1"/>
          <w:numId w:val="18"/>
        </w:numPr>
        <w:spacing w:line="440" w:lineRule="exact"/>
        <w:rPr>
          <w:sz w:val="24"/>
        </w:rPr>
      </w:pPr>
      <w:bookmarkStart w:id="120" w:name="_Toc36971235"/>
      <w:bookmarkStart w:id="121" w:name="_Toc39071059"/>
      <w:r>
        <w:rPr>
          <w:sz w:val="24"/>
        </w:rPr>
        <w:t>投标文件的装订要求</w:t>
      </w:r>
      <w:r>
        <w:rPr>
          <w:rFonts w:hint="eastAsia"/>
          <w:sz w:val="24"/>
        </w:rPr>
        <w:t>。投标文件必须装订成册，出现掉页或漏页的由投标人自己承担，其中“唱标信封”必须单独制作封装，并在信封上标明“唱标信封”字样。</w:t>
      </w:r>
    </w:p>
    <w:p>
      <w:pPr>
        <w:numPr>
          <w:ilvl w:val="1"/>
          <w:numId w:val="18"/>
        </w:numPr>
        <w:spacing w:line="440" w:lineRule="exact"/>
        <w:rPr>
          <w:sz w:val="24"/>
        </w:rPr>
      </w:pPr>
      <w:r>
        <w:rPr>
          <w:rFonts w:hint="eastAsia"/>
          <w:sz w:val="24"/>
        </w:rPr>
        <w:t>投标人应将投标文件的正本、所有副本和唱标信封分开单独密封包装，在密封袋上清楚地标明“正本”、“副本”、“唱标信封”，并在密封袋的封口处加盖投标人公章。</w:t>
      </w:r>
    </w:p>
    <w:p>
      <w:pPr>
        <w:numPr>
          <w:ilvl w:val="1"/>
          <w:numId w:val="18"/>
        </w:numPr>
        <w:spacing w:line="440" w:lineRule="exact"/>
        <w:rPr>
          <w:sz w:val="24"/>
        </w:rPr>
      </w:pPr>
      <w:r>
        <w:rPr>
          <w:rFonts w:hint="eastAsia"/>
          <w:sz w:val="24"/>
        </w:rPr>
        <w:t>在投标文件密封袋上均应标明以下内容：</w:t>
      </w:r>
    </w:p>
    <w:tbl>
      <w:tblPr>
        <w:tblStyle w:val="47"/>
        <w:tblW w:w="6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0" w:type="dxa"/>
          </w:tcPr>
          <w:p>
            <w:pPr>
              <w:pStyle w:val="114"/>
              <w:spacing w:line="440" w:lineRule="exact"/>
              <w:ind w:firstLine="31" w:firstLineChars="13"/>
              <w:rPr>
                <w:rFonts w:ascii="Times New Roman" w:hAnsi="Times New Roman" w:eastAsia="黑体"/>
                <w:b/>
                <w:sz w:val="24"/>
              </w:rPr>
            </w:pPr>
            <w:r>
              <w:rPr>
                <w:rFonts w:hint="eastAsia" w:ascii="Times New Roman" w:hAnsi="Times New Roman" w:eastAsia="黑体"/>
                <w:b/>
                <w:sz w:val="24"/>
              </w:rPr>
              <w:t>收件人：广东中元招标代理有限公司</w:t>
            </w:r>
          </w:p>
          <w:p>
            <w:pPr>
              <w:pStyle w:val="114"/>
              <w:spacing w:line="440" w:lineRule="exact"/>
              <w:ind w:firstLine="31" w:firstLineChars="13"/>
              <w:rPr>
                <w:rFonts w:ascii="Times New Roman" w:hAnsi="Times New Roman" w:eastAsia="黑体"/>
                <w:b/>
                <w:sz w:val="24"/>
              </w:rPr>
            </w:pPr>
            <w:r>
              <w:rPr>
                <w:rFonts w:hint="eastAsia" w:ascii="Times New Roman" w:hAnsi="Times New Roman" w:eastAsia="黑体"/>
                <w:b/>
                <w:sz w:val="24"/>
              </w:rPr>
              <w:t xml:space="preserve">项目名称：                       </w:t>
            </w:r>
          </w:p>
          <w:p>
            <w:pPr>
              <w:pStyle w:val="114"/>
              <w:spacing w:line="440" w:lineRule="exact"/>
              <w:ind w:firstLine="31" w:firstLineChars="13"/>
              <w:rPr>
                <w:rFonts w:ascii="Times New Roman" w:hAnsi="Times New Roman" w:eastAsia="黑体"/>
                <w:b/>
                <w:sz w:val="24"/>
              </w:rPr>
            </w:pPr>
            <w:r>
              <w:rPr>
                <w:rFonts w:hint="eastAsia" w:ascii="Times New Roman" w:hAnsi="Times New Roman" w:eastAsia="黑体"/>
                <w:b/>
                <w:sz w:val="24"/>
              </w:rPr>
              <w:t xml:space="preserve">采购编号：                       </w:t>
            </w:r>
          </w:p>
          <w:p>
            <w:pPr>
              <w:pStyle w:val="114"/>
              <w:spacing w:line="440" w:lineRule="exact"/>
              <w:ind w:firstLine="31" w:firstLineChars="13"/>
              <w:rPr>
                <w:rFonts w:ascii="Times New Roman" w:hAnsi="Times New Roman" w:eastAsia="黑体"/>
                <w:b/>
                <w:sz w:val="24"/>
              </w:rPr>
            </w:pPr>
            <w:r>
              <w:rPr>
                <w:rFonts w:hint="eastAsia" w:ascii="Times New Roman" w:hAnsi="Times New Roman" w:eastAsia="黑体"/>
                <w:b/>
                <w:sz w:val="24"/>
              </w:rPr>
              <w:t xml:space="preserve">在   年   月   日时分开标，此时间之前不得开封 </w:t>
            </w:r>
          </w:p>
          <w:p>
            <w:pPr>
              <w:pStyle w:val="114"/>
              <w:spacing w:line="440" w:lineRule="exact"/>
              <w:ind w:firstLine="31" w:firstLineChars="13"/>
              <w:rPr>
                <w:rFonts w:ascii="Times New Roman" w:hAnsi="Times New Roman" w:eastAsia="黑体"/>
                <w:b/>
                <w:sz w:val="24"/>
              </w:rPr>
            </w:pPr>
            <w:r>
              <w:rPr>
                <w:rFonts w:hint="eastAsia" w:ascii="Times New Roman" w:hAnsi="Times New Roman" w:eastAsia="黑体"/>
                <w:b/>
                <w:sz w:val="24"/>
              </w:rPr>
              <w:t>投标人名称：</w:t>
            </w:r>
          </w:p>
          <w:p>
            <w:pPr>
              <w:pStyle w:val="114"/>
              <w:spacing w:line="440" w:lineRule="exact"/>
              <w:ind w:firstLine="0" w:firstLineChars="0"/>
              <w:rPr>
                <w:rFonts w:ascii="Times New Roman" w:hAnsi="Times New Roman" w:eastAsia="黑体"/>
                <w:sz w:val="24"/>
              </w:rPr>
            </w:pPr>
            <w:r>
              <w:rPr>
                <w:rFonts w:hint="eastAsia" w:ascii="Times New Roman" w:hAnsi="Times New Roman" w:eastAsia="黑体"/>
                <w:b/>
                <w:sz w:val="24"/>
              </w:rPr>
              <w:t>投标人地址：</w:t>
            </w:r>
          </w:p>
        </w:tc>
      </w:tr>
    </w:tbl>
    <w:p>
      <w:pPr>
        <w:numPr>
          <w:ilvl w:val="1"/>
          <w:numId w:val="18"/>
        </w:numPr>
        <w:spacing w:line="440" w:lineRule="exact"/>
        <w:rPr>
          <w:sz w:val="24"/>
        </w:rPr>
      </w:pPr>
      <w:r>
        <w:rPr>
          <w:sz w:val="24"/>
        </w:rPr>
        <w:t>如果投标文件没有按本报价须知第1</w:t>
      </w:r>
      <w:r>
        <w:rPr>
          <w:rFonts w:hint="eastAsia"/>
          <w:sz w:val="24"/>
        </w:rPr>
        <w:t>9</w:t>
      </w:r>
      <w:r>
        <w:rPr>
          <w:sz w:val="24"/>
        </w:rPr>
        <w:t>.1</w:t>
      </w:r>
      <w:r>
        <w:rPr>
          <w:rFonts w:hint="eastAsia"/>
          <w:sz w:val="24"/>
        </w:rPr>
        <w:t>～19</w:t>
      </w:r>
      <w:r>
        <w:rPr>
          <w:sz w:val="24"/>
        </w:rPr>
        <w:t>.</w:t>
      </w:r>
      <w:r>
        <w:rPr>
          <w:rFonts w:hint="eastAsia"/>
          <w:sz w:val="24"/>
        </w:rPr>
        <w:t>3</w:t>
      </w:r>
      <w:r>
        <w:rPr>
          <w:sz w:val="24"/>
        </w:rPr>
        <w:t>款的规定装订和加写标记及密封，</w:t>
      </w:r>
      <w:r>
        <w:rPr>
          <w:rFonts w:hint="eastAsia"/>
          <w:sz w:val="24"/>
        </w:rPr>
        <w:t>采购代理机构</w:t>
      </w:r>
      <w:r>
        <w:rPr>
          <w:sz w:val="24"/>
        </w:rPr>
        <w:t>将不承担投标文件提前开封的责任。对由此造成提前开封的投标文件将予以拒绝，并退还给投标人。</w:t>
      </w:r>
    </w:p>
    <w:p>
      <w:pPr>
        <w:numPr>
          <w:ilvl w:val="0"/>
          <w:numId w:val="18"/>
        </w:numPr>
        <w:spacing w:before="120" w:beforeLines="50" w:after="120" w:afterLines="50" w:line="440" w:lineRule="exact"/>
        <w:outlineLvl w:val="2"/>
        <w:rPr>
          <w:b/>
          <w:sz w:val="24"/>
        </w:rPr>
      </w:pPr>
      <w:bookmarkStart w:id="122" w:name="_Toc521850229"/>
      <w:bookmarkStart w:id="123" w:name="_Toc170229652"/>
      <w:bookmarkStart w:id="124" w:name="_Toc317604624"/>
      <w:bookmarkStart w:id="125" w:name="_Toc10124649"/>
      <w:r>
        <w:rPr>
          <w:rFonts w:hint="eastAsia"/>
          <w:b/>
          <w:sz w:val="24"/>
        </w:rPr>
        <w:t>投标截止</w:t>
      </w:r>
      <w:bookmarkEnd w:id="120"/>
      <w:r>
        <w:rPr>
          <w:rFonts w:hint="eastAsia"/>
          <w:b/>
          <w:sz w:val="24"/>
        </w:rPr>
        <w:t>期</w:t>
      </w:r>
      <w:bookmarkEnd w:id="121"/>
      <w:bookmarkEnd w:id="122"/>
      <w:bookmarkEnd w:id="123"/>
      <w:bookmarkEnd w:id="124"/>
      <w:bookmarkEnd w:id="125"/>
    </w:p>
    <w:p>
      <w:pPr>
        <w:numPr>
          <w:ilvl w:val="1"/>
          <w:numId w:val="18"/>
        </w:numPr>
        <w:spacing w:line="440" w:lineRule="exact"/>
        <w:rPr>
          <w:sz w:val="24"/>
        </w:rPr>
      </w:pPr>
      <w:r>
        <w:rPr>
          <w:sz w:val="24"/>
        </w:rPr>
        <w:t>采购代理机构可按本须知第</w:t>
      </w:r>
      <w:r>
        <w:rPr>
          <w:rFonts w:hint="eastAsia"/>
          <w:sz w:val="24"/>
        </w:rPr>
        <w:t>10</w:t>
      </w:r>
      <w:r>
        <w:rPr>
          <w:sz w:val="24"/>
        </w:rPr>
        <w:t>条规定以修改补充通知的方式，酌情延长</w:t>
      </w:r>
      <w:r>
        <w:rPr>
          <w:rFonts w:hint="eastAsia"/>
          <w:sz w:val="24"/>
        </w:rPr>
        <w:t>递</w:t>
      </w:r>
      <w:r>
        <w:rPr>
          <w:sz w:val="24"/>
        </w:rPr>
        <w:t>交投标文件的截止时间。在此情况下，投标人的所有权利和义务以及投标人受制约的截止时间，均以延长后新的投标截止时间为准。</w:t>
      </w:r>
    </w:p>
    <w:p>
      <w:pPr>
        <w:numPr>
          <w:ilvl w:val="0"/>
          <w:numId w:val="18"/>
        </w:numPr>
        <w:spacing w:before="120" w:beforeLines="50" w:after="120" w:afterLines="50" w:line="440" w:lineRule="exact"/>
        <w:outlineLvl w:val="2"/>
        <w:rPr>
          <w:b/>
          <w:sz w:val="24"/>
        </w:rPr>
      </w:pPr>
      <w:bookmarkStart w:id="126" w:name="_Toc521850230"/>
      <w:bookmarkStart w:id="127" w:name="_Toc170229653"/>
      <w:bookmarkStart w:id="128" w:name="_Toc10124650"/>
      <w:bookmarkStart w:id="129" w:name="_Toc317604625"/>
      <w:r>
        <w:rPr>
          <w:b/>
          <w:sz w:val="24"/>
        </w:rPr>
        <w:t>迟交的投标文件</w:t>
      </w:r>
      <w:bookmarkEnd w:id="126"/>
      <w:bookmarkEnd w:id="127"/>
      <w:bookmarkEnd w:id="128"/>
      <w:bookmarkEnd w:id="129"/>
    </w:p>
    <w:p>
      <w:pPr>
        <w:numPr>
          <w:ilvl w:val="1"/>
          <w:numId w:val="18"/>
        </w:numPr>
        <w:spacing w:line="440" w:lineRule="exact"/>
        <w:rPr>
          <w:sz w:val="24"/>
        </w:rPr>
      </w:pPr>
      <w:r>
        <w:rPr>
          <w:sz w:val="24"/>
        </w:rPr>
        <w:t>采购代理机构在本须知第</w:t>
      </w:r>
      <w:r>
        <w:rPr>
          <w:rFonts w:hint="eastAsia"/>
          <w:sz w:val="24"/>
        </w:rPr>
        <w:t>20</w:t>
      </w:r>
      <w:r>
        <w:rPr>
          <w:sz w:val="24"/>
        </w:rPr>
        <w:t>条规定的投标截止时间以后收到的投标文件，将被拒绝并退回给投标人。</w:t>
      </w:r>
    </w:p>
    <w:p>
      <w:pPr>
        <w:numPr>
          <w:ilvl w:val="0"/>
          <w:numId w:val="18"/>
        </w:numPr>
        <w:spacing w:before="120" w:beforeLines="50" w:after="120" w:afterLines="50" w:line="440" w:lineRule="exact"/>
        <w:outlineLvl w:val="2"/>
        <w:rPr>
          <w:b/>
          <w:sz w:val="24"/>
        </w:rPr>
      </w:pPr>
      <w:bookmarkStart w:id="130" w:name="_Toc10124651"/>
      <w:bookmarkStart w:id="131" w:name="_Toc317604626"/>
      <w:bookmarkStart w:id="132" w:name="_Toc170229654"/>
      <w:bookmarkStart w:id="133" w:name="_Toc521850231"/>
      <w:r>
        <w:rPr>
          <w:b/>
          <w:sz w:val="24"/>
        </w:rPr>
        <w:t>投标文件的补充、修改与撤回</w:t>
      </w:r>
      <w:bookmarkEnd w:id="130"/>
      <w:bookmarkEnd w:id="131"/>
      <w:bookmarkEnd w:id="132"/>
      <w:bookmarkEnd w:id="133"/>
    </w:p>
    <w:p>
      <w:pPr>
        <w:numPr>
          <w:ilvl w:val="1"/>
          <w:numId w:val="18"/>
        </w:numPr>
        <w:spacing w:line="440" w:lineRule="exact"/>
        <w:rPr>
          <w:sz w:val="24"/>
        </w:rPr>
      </w:pPr>
      <w:r>
        <w:rPr>
          <w:sz w:val="24"/>
        </w:rPr>
        <w:t>投标人在提交投标文件以后，在规定的</w:t>
      </w:r>
      <w:r>
        <w:rPr>
          <w:rFonts w:hint="eastAsia"/>
          <w:sz w:val="24"/>
        </w:rPr>
        <w:t>递交</w:t>
      </w:r>
      <w:r>
        <w:rPr>
          <w:sz w:val="24"/>
        </w:rPr>
        <w:t>投标</w:t>
      </w:r>
      <w:r>
        <w:rPr>
          <w:rFonts w:hint="eastAsia"/>
          <w:sz w:val="24"/>
        </w:rPr>
        <w:t>文件</w:t>
      </w:r>
      <w:r>
        <w:rPr>
          <w:sz w:val="24"/>
        </w:rPr>
        <w:t>截止时间之前，可以书面形式补充修改或撤回已提交的投标文件，并以书面形式通知采购人。补充、修改的内容为投标文件的组成部分。</w:t>
      </w:r>
    </w:p>
    <w:p>
      <w:pPr>
        <w:numPr>
          <w:ilvl w:val="1"/>
          <w:numId w:val="18"/>
        </w:numPr>
        <w:spacing w:line="440" w:lineRule="exact"/>
        <w:rPr>
          <w:sz w:val="24"/>
        </w:rPr>
      </w:pPr>
      <w:r>
        <w:rPr>
          <w:sz w:val="24"/>
        </w:rPr>
        <w:t>投标人对投标文件的补充、修改，应按本须知第</w:t>
      </w:r>
      <w:r>
        <w:rPr>
          <w:rFonts w:hint="eastAsia"/>
          <w:sz w:val="24"/>
        </w:rPr>
        <w:t>19</w:t>
      </w:r>
      <w:r>
        <w:rPr>
          <w:sz w:val="24"/>
        </w:rPr>
        <w:t>条有关规定密封、标记和提交，并在内外层投标文件密封袋上清楚标明</w:t>
      </w:r>
      <w:r>
        <w:rPr>
          <w:rFonts w:hint="eastAsia"/>
          <w:sz w:val="24"/>
        </w:rPr>
        <w:t>“</w:t>
      </w:r>
      <w:r>
        <w:rPr>
          <w:sz w:val="24"/>
        </w:rPr>
        <w:t>补充、修改</w:t>
      </w:r>
      <w:r>
        <w:rPr>
          <w:rFonts w:hint="eastAsia"/>
          <w:sz w:val="24"/>
        </w:rPr>
        <w:t>”</w:t>
      </w:r>
      <w:r>
        <w:rPr>
          <w:sz w:val="24"/>
        </w:rPr>
        <w:t>或</w:t>
      </w:r>
      <w:r>
        <w:rPr>
          <w:rFonts w:hint="eastAsia"/>
          <w:sz w:val="24"/>
        </w:rPr>
        <w:t>“</w:t>
      </w:r>
      <w:r>
        <w:rPr>
          <w:sz w:val="24"/>
        </w:rPr>
        <w:t>撤回</w:t>
      </w:r>
      <w:r>
        <w:rPr>
          <w:rFonts w:hint="eastAsia"/>
          <w:sz w:val="24"/>
        </w:rPr>
        <w:t>”</w:t>
      </w:r>
      <w:r>
        <w:rPr>
          <w:sz w:val="24"/>
        </w:rPr>
        <w:t>字样。</w:t>
      </w:r>
    </w:p>
    <w:p>
      <w:pPr>
        <w:numPr>
          <w:ilvl w:val="1"/>
          <w:numId w:val="18"/>
        </w:numPr>
        <w:spacing w:line="440" w:lineRule="exact"/>
        <w:rPr>
          <w:sz w:val="24"/>
        </w:rPr>
      </w:pPr>
      <w:r>
        <w:rPr>
          <w:sz w:val="24"/>
        </w:rPr>
        <w:t>在</w:t>
      </w:r>
      <w:r>
        <w:rPr>
          <w:rFonts w:hint="eastAsia"/>
          <w:sz w:val="24"/>
        </w:rPr>
        <w:t>递交</w:t>
      </w:r>
      <w:r>
        <w:rPr>
          <w:sz w:val="24"/>
        </w:rPr>
        <w:t>投标</w:t>
      </w:r>
      <w:r>
        <w:rPr>
          <w:rFonts w:hint="eastAsia"/>
          <w:sz w:val="24"/>
        </w:rPr>
        <w:t>文件</w:t>
      </w:r>
      <w:r>
        <w:rPr>
          <w:sz w:val="24"/>
        </w:rPr>
        <w:t>截止时间之后，投标人不得补充、修改投标文件。</w:t>
      </w:r>
    </w:p>
    <w:p>
      <w:pPr>
        <w:numPr>
          <w:ilvl w:val="1"/>
          <w:numId w:val="18"/>
        </w:numPr>
        <w:spacing w:line="440" w:lineRule="exact"/>
        <w:rPr>
          <w:sz w:val="24"/>
        </w:rPr>
      </w:pPr>
      <w:r>
        <w:rPr>
          <w:sz w:val="24"/>
        </w:rPr>
        <w:t>在</w:t>
      </w:r>
      <w:r>
        <w:rPr>
          <w:rFonts w:hint="eastAsia"/>
          <w:sz w:val="24"/>
        </w:rPr>
        <w:t>递交</w:t>
      </w:r>
      <w:r>
        <w:rPr>
          <w:sz w:val="24"/>
        </w:rPr>
        <w:t>投标</w:t>
      </w:r>
      <w:r>
        <w:rPr>
          <w:rFonts w:hint="eastAsia"/>
          <w:sz w:val="24"/>
        </w:rPr>
        <w:t>文件</w:t>
      </w:r>
      <w:r>
        <w:rPr>
          <w:sz w:val="24"/>
        </w:rPr>
        <w:t>截止时间至投标有效期满之前，投标人不得撤</w:t>
      </w:r>
      <w:r>
        <w:rPr>
          <w:rFonts w:hint="eastAsia"/>
          <w:sz w:val="24"/>
        </w:rPr>
        <w:t>销</w:t>
      </w:r>
      <w:r>
        <w:rPr>
          <w:sz w:val="24"/>
        </w:rPr>
        <w:t>其投标文件。</w:t>
      </w:r>
    </w:p>
    <w:p>
      <w:pPr>
        <w:numPr>
          <w:ilvl w:val="1"/>
          <w:numId w:val="18"/>
        </w:numPr>
        <w:spacing w:line="440" w:lineRule="exact"/>
        <w:rPr>
          <w:sz w:val="24"/>
        </w:rPr>
      </w:pPr>
      <w:r>
        <w:rPr>
          <w:rFonts w:hint="eastAsia"/>
          <w:sz w:val="24"/>
        </w:rPr>
        <w:t>除非招标文件另有规定或说明，未拒收的投标文件一律不予退还。</w:t>
      </w:r>
      <w:bookmarkStart w:id="134" w:name="_Toc317604627"/>
      <w:bookmarkStart w:id="135" w:name="_Toc36971238"/>
      <w:bookmarkStart w:id="136" w:name="_Toc39071062"/>
      <w:bookmarkStart w:id="137" w:name="_Toc39368838"/>
    </w:p>
    <w:p>
      <w:pPr>
        <w:spacing w:before="240" w:beforeLines="100" w:after="240" w:afterLines="100" w:line="440" w:lineRule="exact"/>
        <w:jc w:val="center"/>
        <w:outlineLvl w:val="1"/>
        <w:rPr>
          <w:b/>
          <w:bCs/>
          <w:sz w:val="44"/>
          <w:szCs w:val="44"/>
        </w:rPr>
      </w:pPr>
      <w:bookmarkStart w:id="138" w:name="_Toc521850232"/>
      <w:bookmarkStart w:id="139" w:name="_Toc10124652"/>
      <w:bookmarkStart w:id="140" w:name="_Toc170229655"/>
      <w:r>
        <w:rPr>
          <w:rFonts w:hint="eastAsia"/>
          <w:b/>
          <w:bCs/>
          <w:sz w:val="44"/>
          <w:szCs w:val="44"/>
        </w:rPr>
        <w:t>五、开标与评标</w:t>
      </w:r>
      <w:bookmarkEnd w:id="134"/>
      <w:bookmarkEnd w:id="135"/>
      <w:bookmarkEnd w:id="136"/>
      <w:bookmarkEnd w:id="137"/>
      <w:bookmarkEnd w:id="138"/>
      <w:bookmarkEnd w:id="139"/>
      <w:bookmarkEnd w:id="140"/>
    </w:p>
    <w:p>
      <w:pPr>
        <w:numPr>
          <w:ilvl w:val="0"/>
          <w:numId w:val="18"/>
        </w:numPr>
        <w:spacing w:before="120" w:beforeLines="50" w:after="120" w:afterLines="50" w:line="440" w:lineRule="exact"/>
        <w:outlineLvl w:val="2"/>
        <w:rPr>
          <w:b/>
          <w:sz w:val="24"/>
        </w:rPr>
      </w:pPr>
      <w:bookmarkStart w:id="141" w:name="_Toc170229656"/>
      <w:bookmarkStart w:id="142" w:name="_Toc317604628"/>
      <w:bookmarkStart w:id="143" w:name="_Toc10124653"/>
      <w:bookmarkStart w:id="144" w:name="_Toc521850233"/>
      <w:r>
        <w:rPr>
          <w:b/>
          <w:sz w:val="24"/>
        </w:rPr>
        <w:t>开标</w:t>
      </w:r>
      <w:bookmarkEnd w:id="141"/>
      <w:bookmarkEnd w:id="142"/>
      <w:bookmarkEnd w:id="143"/>
      <w:bookmarkEnd w:id="144"/>
    </w:p>
    <w:p>
      <w:pPr>
        <w:numPr>
          <w:ilvl w:val="1"/>
          <w:numId w:val="18"/>
        </w:numPr>
        <w:spacing w:line="440" w:lineRule="exact"/>
        <w:rPr>
          <w:sz w:val="24"/>
        </w:rPr>
      </w:pPr>
      <w:r>
        <w:rPr>
          <w:sz w:val="24"/>
        </w:rPr>
        <w:t>采购代理机构按本须知所规定的时间和地点公开开标，并邀请所有投标人参加。</w:t>
      </w:r>
    </w:p>
    <w:p>
      <w:pPr>
        <w:numPr>
          <w:ilvl w:val="1"/>
          <w:numId w:val="18"/>
        </w:numPr>
        <w:spacing w:line="440" w:lineRule="exact"/>
        <w:rPr>
          <w:sz w:val="24"/>
        </w:rPr>
      </w:pPr>
      <w:r>
        <w:rPr>
          <w:sz w:val="24"/>
        </w:rPr>
        <w:t>按规定提交撤回通知的投标文件不予开封，并退回给投标人。</w:t>
      </w:r>
    </w:p>
    <w:p>
      <w:pPr>
        <w:numPr>
          <w:ilvl w:val="1"/>
          <w:numId w:val="18"/>
        </w:numPr>
        <w:spacing w:line="440" w:lineRule="exact"/>
        <w:rPr>
          <w:sz w:val="24"/>
        </w:rPr>
      </w:pPr>
      <w:r>
        <w:rPr>
          <w:sz w:val="24"/>
        </w:rPr>
        <w:t>开标程序：</w:t>
      </w:r>
    </w:p>
    <w:p>
      <w:pPr>
        <w:numPr>
          <w:ilvl w:val="2"/>
          <w:numId w:val="18"/>
        </w:numPr>
        <w:spacing w:line="440" w:lineRule="exact"/>
        <w:rPr>
          <w:sz w:val="24"/>
        </w:rPr>
      </w:pPr>
      <w:r>
        <w:rPr>
          <w:sz w:val="24"/>
        </w:rPr>
        <w:t>开标</w:t>
      </w:r>
      <w:r>
        <w:rPr>
          <w:rFonts w:hint="eastAsia"/>
          <w:sz w:val="24"/>
        </w:rPr>
        <w:t>会</w:t>
      </w:r>
      <w:r>
        <w:rPr>
          <w:sz w:val="24"/>
        </w:rPr>
        <w:t>由采购代理机构主持</w:t>
      </w:r>
      <w:r>
        <w:rPr>
          <w:rFonts w:hint="eastAsia"/>
          <w:sz w:val="24"/>
        </w:rPr>
        <w:t>，投标人的法定代表人或其授权代表务必携带有效身份证明准时参加开标会并签名报到，以证明其出席。投标人的法定代表人或其授权代表未参加开标会的，视同认可开标结果；</w:t>
      </w:r>
    </w:p>
    <w:p>
      <w:pPr>
        <w:numPr>
          <w:ilvl w:val="2"/>
          <w:numId w:val="18"/>
        </w:numPr>
        <w:spacing w:line="440" w:lineRule="exact"/>
        <w:rPr>
          <w:sz w:val="24"/>
        </w:rPr>
      </w:pPr>
      <w:r>
        <w:rPr>
          <w:rFonts w:hint="eastAsia"/>
          <w:sz w:val="24"/>
        </w:rPr>
        <w:t>投标文件的密封情况</w:t>
      </w:r>
      <w:r>
        <w:rPr>
          <w:sz w:val="24"/>
        </w:rPr>
        <w:t>由</w:t>
      </w:r>
      <w:r>
        <w:rPr>
          <w:rFonts w:hint="eastAsia"/>
          <w:sz w:val="24"/>
        </w:rPr>
        <w:t>投标人或者其推选的代表检查；</w:t>
      </w:r>
    </w:p>
    <w:p>
      <w:pPr>
        <w:numPr>
          <w:ilvl w:val="2"/>
          <w:numId w:val="18"/>
        </w:numPr>
        <w:spacing w:line="440" w:lineRule="exact"/>
        <w:rPr>
          <w:sz w:val="24"/>
        </w:rPr>
      </w:pPr>
      <w:r>
        <w:rPr>
          <w:rFonts w:hint="eastAsia"/>
          <w:sz w:val="24"/>
        </w:rPr>
        <w:t>经确认无误后，由采购人或者采购代理机构工作人员当众拆封，宣布投标人名称、投标价格和招标文件规定的需要宣布的其他内容；</w:t>
      </w:r>
    </w:p>
    <w:p>
      <w:pPr>
        <w:numPr>
          <w:ilvl w:val="2"/>
          <w:numId w:val="18"/>
        </w:numPr>
        <w:spacing w:line="440" w:lineRule="exact"/>
        <w:rPr>
          <w:sz w:val="24"/>
        </w:rPr>
      </w:pPr>
      <w:r>
        <w:rPr>
          <w:rFonts w:hint="eastAsia"/>
          <w:sz w:val="24"/>
        </w:rPr>
        <w:t>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同时出现两种以上不一致的，按照前款规定的顺序修正。修正后的报价经投标人确认后产生约束力，投标人不确认的，其投标无效。对不同文字文本投标文件的解释发生异议的，以中文文本为准。</w:t>
      </w:r>
    </w:p>
    <w:p>
      <w:pPr>
        <w:numPr>
          <w:ilvl w:val="1"/>
          <w:numId w:val="18"/>
        </w:numPr>
        <w:spacing w:line="440" w:lineRule="exact"/>
        <w:rPr>
          <w:sz w:val="24"/>
        </w:rPr>
      </w:pPr>
      <w:r>
        <w:rPr>
          <w:sz w:val="24"/>
        </w:rPr>
        <w:t>采购代理机构在</w:t>
      </w:r>
      <w:r>
        <w:rPr>
          <w:rFonts w:hint="eastAsia"/>
          <w:sz w:val="24"/>
        </w:rPr>
        <w:t>递交</w:t>
      </w:r>
      <w:r>
        <w:rPr>
          <w:sz w:val="24"/>
        </w:rPr>
        <w:t>投标</w:t>
      </w:r>
      <w:r>
        <w:rPr>
          <w:rFonts w:hint="eastAsia"/>
          <w:sz w:val="24"/>
        </w:rPr>
        <w:t>文件</w:t>
      </w:r>
      <w:r>
        <w:rPr>
          <w:sz w:val="24"/>
        </w:rPr>
        <w:t>截止时间前收到的投标文件，开标时都应当众予以拆封、宣读。</w:t>
      </w:r>
      <w:r>
        <w:rPr>
          <w:rFonts w:hint="eastAsia"/>
          <w:sz w:val="24"/>
        </w:rPr>
        <w:t>在开标时没有启封和没有读出的投标文件（包括按照本须知第22条递交的补充、修改），在评标时将不予考虑。没有启封和读出的投标文件将原封退回给投标人。</w:t>
      </w:r>
    </w:p>
    <w:p>
      <w:pPr>
        <w:numPr>
          <w:ilvl w:val="1"/>
          <w:numId w:val="18"/>
        </w:numPr>
        <w:spacing w:line="440" w:lineRule="exact"/>
        <w:rPr>
          <w:sz w:val="24"/>
        </w:rPr>
      </w:pPr>
      <w:r>
        <w:rPr>
          <w:sz w:val="24"/>
        </w:rPr>
        <w:t>采购代理机构对开标过程进行记录，</w:t>
      </w:r>
      <w:r>
        <w:rPr>
          <w:rFonts w:hint="eastAsia"/>
          <w:sz w:val="24"/>
        </w:rPr>
        <w:t>由投标人签字确认，</w:t>
      </w:r>
      <w:r>
        <w:rPr>
          <w:sz w:val="24"/>
        </w:rPr>
        <w:t>并存档备查。</w:t>
      </w:r>
    </w:p>
    <w:p>
      <w:pPr>
        <w:numPr>
          <w:ilvl w:val="0"/>
          <w:numId w:val="18"/>
        </w:numPr>
        <w:spacing w:before="120" w:beforeLines="50" w:after="120" w:afterLines="50" w:line="440" w:lineRule="exact"/>
        <w:outlineLvl w:val="2"/>
        <w:rPr>
          <w:b/>
          <w:sz w:val="24"/>
        </w:rPr>
      </w:pPr>
      <w:bookmarkStart w:id="145" w:name="_Toc10124654"/>
      <w:bookmarkStart w:id="146" w:name="_Toc521850234"/>
      <w:bookmarkStart w:id="147" w:name="_Toc170229657"/>
      <w:r>
        <w:rPr>
          <w:rFonts w:hint="eastAsia"/>
          <w:b/>
          <w:sz w:val="24"/>
        </w:rPr>
        <w:t>资格审查</w:t>
      </w:r>
      <w:bookmarkEnd w:id="145"/>
      <w:bookmarkEnd w:id="146"/>
      <w:bookmarkEnd w:id="147"/>
    </w:p>
    <w:p>
      <w:pPr>
        <w:numPr>
          <w:ilvl w:val="1"/>
          <w:numId w:val="18"/>
        </w:numPr>
        <w:spacing w:line="440" w:lineRule="exact"/>
        <w:rPr>
          <w:sz w:val="24"/>
        </w:rPr>
      </w:pPr>
      <w:r>
        <w:rPr>
          <w:rFonts w:hint="eastAsia"/>
          <w:sz w:val="24"/>
        </w:rPr>
        <w:t>公开招标采购项目开标结束后，采购人或者采购代理机构应当依法对投标人的资格进行审查。</w:t>
      </w:r>
    </w:p>
    <w:p>
      <w:pPr>
        <w:spacing w:line="440" w:lineRule="exact"/>
        <w:ind w:left="899" w:leftChars="428"/>
        <w:rPr>
          <w:sz w:val="24"/>
        </w:rPr>
      </w:pPr>
      <w:r>
        <w:rPr>
          <w:rFonts w:hint="eastAsia"/>
          <w:sz w:val="24"/>
        </w:rPr>
        <w:t>1) 资格证明检查</w:t>
      </w:r>
    </w:p>
    <w:p>
      <w:pPr>
        <w:spacing w:line="440" w:lineRule="exact"/>
        <w:ind w:left="899" w:leftChars="428"/>
        <w:rPr>
          <w:sz w:val="24"/>
        </w:rPr>
      </w:pPr>
      <w:r>
        <w:rPr>
          <w:rFonts w:hint="eastAsia"/>
          <w:sz w:val="24"/>
        </w:rPr>
        <w:t>包括但不限于：①不具备招标文件中规定的资格要求的；②未按招标文件要求获取招标文件的。</w:t>
      </w:r>
    </w:p>
    <w:p>
      <w:pPr>
        <w:spacing w:line="440" w:lineRule="exact"/>
        <w:ind w:left="899" w:leftChars="428"/>
        <w:rPr>
          <w:sz w:val="24"/>
        </w:rPr>
      </w:pPr>
      <w:r>
        <w:rPr>
          <w:rFonts w:hint="eastAsia"/>
          <w:sz w:val="24"/>
        </w:rPr>
        <w:t>2) 投标保证金检查：未按照招标文件的规定提交投标保证金的。</w:t>
      </w:r>
    </w:p>
    <w:p>
      <w:pPr>
        <w:numPr>
          <w:ilvl w:val="1"/>
          <w:numId w:val="18"/>
        </w:numPr>
        <w:spacing w:line="440" w:lineRule="exact"/>
        <w:rPr>
          <w:sz w:val="24"/>
        </w:rPr>
      </w:pPr>
      <w:r>
        <w:rPr>
          <w:rFonts w:hint="eastAsia"/>
          <w:sz w:val="24"/>
        </w:rPr>
        <w:t>合格投标人不足3家的，不得评标。</w:t>
      </w:r>
    </w:p>
    <w:p>
      <w:pPr>
        <w:numPr>
          <w:ilvl w:val="0"/>
          <w:numId w:val="18"/>
        </w:numPr>
        <w:spacing w:before="120" w:beforeLines="50" w:after="120" w:afterLines="50" w:line="440" w:lineRule="exact"/>
        <w:outlineLvl w:val="2"/>
        <w:rPr>
          <w:b/>
          <w:sz w:val="24"/>
        </w:rPr>
      </w:pPr>
      <w:bookmarkStart w:id="148" w:name="_Toc10124655"/>
      <w:bookmarkStart w:id="149" w:name="_Toc521850235"/>
      <w:bookmarkStart w:id="150" w:name="_Toc170229658"/>
      <w:r>
        <w:rPr>
          <w:rFonts w:hint="eastAsia"/>
          <w:b/>
          <w:sz w:val="24"/>
        </w:rPr>
        <w:t>评标委员会及评标方法</w:t>
      </w:r>
      <w:bookmarkEnd w:id="148"/>
      <w:bookmarkEnd w:id="149"/>
      <w:bookmarkEnd w:id="150"/>
    </w:p>
    <w:p>
      <w:pPr>
        <w:numPr>
          <w:ilvl w:val="1"/>
          <w:numId w:val="18"/>
        </w:numPr>
        <w:spacing w:line="440" w:lineRule="exact"/>
        <w:rPr>
          <w:sz w:val="24"/>
        </w:rPr>
      </w:pPr>
      <w:r>
        <w:rPr>
          <w:rFonts w:hint="eastAsia"/>
          <w:sz w:val="24"/>
        </w:rPr>
        <w:t>评标委员会由采购人代表和（技术、经济等）方面的评审专家组成，成员人数应当为5人以上单数。</w:t>
      </w:r>
    </w:p>
    <w:p>
      <w:pPr>
        <w:numPr>
          <w:ilvl w:val="1"/>
          <w:numId w:val="18"/>
        </w:numPr>
        <w:spacing w:line="440" w:lineRule="exact"/>
        <w:rPr>
          <w:sz w:val="24"/>
        </w:rPr>
      </w:pPr>
      <w:r>
        <w:rPr>
          <w:rFonts w:hint="eastAsia"/>
          <w:sz w:val="24"/>
        </w:rPr>
        <w:t>评审专家（含采购人代表）不得参与同自己或任职单位有利害关系的采购项目评标活动。具有下列情形之一的，评审专家应当主动提出回避，采购人和监督管理部门也可以要求其回避：</w:t>
      </w:r>
    </w:p>
    <w:p>
      <w:pPr>
        <w:spacing w:line="440" w:lineRule="exact"/>
        <w:ind w:left="899"/>
        <w:rPr>
          <w:sz w:val="24"/>
        </w:rPr>
      </w:pPr>
      <w:r>
        <w:rPr>
          <w:rFonts w:hint="eastAsia"/>
          <w:sz w:val="24"/>
        </w:rPr>
        <w:t>1) 本人、配偶或直系亲属3年内曾在参加该采购项目的供应商中任职（包括一般工作）或担任顾问，或与参加该采购项目的供应商发生过法律纠纷；</w:t>
      </w:r>
    </w:p>
    <w:p>
      <w:pPr>
        <w:spacing w:line="440" w:lineRule="exact"/>
        <w:ind w:left="899"/>
        <w:rPr>
          <w:sz w:val="24"/>
        </w:rPr>
      </w:pPr>
      <w:r>
        <w:rPr>
          <w:rFonts w:hint="eastAsia"/>
          <w:sz w:val="24"/>
        </w:rPr>
        <w:t>2) 任职单位与采购人或参加该采购项目供应商存在行政隶属关系；</w:t>
      </w:r>
    </w:p>
    <w:p>
      <w:pPr>
        <w:spacing w:line="440" w:lineRule="exact"/>
        <w:ind w:left="899"/>
        <w:rPr>
          <w:sz w:val="24"/>
        </w:rPr>
      </w:pPr>
      <w:r>
        <w:rPr>
          <w:rFonts w:hint="eastAsia"/>
          <w:sz w:val="24"/>
        </w:rPr>
        <w:t>3) 曾经参加过该采购项目的进口产品或采购文件、采购需求、采购方式的论证和咨询服务工作；</w:t>
      </w:r>
    </w:p>
    <w:p>
      <w:pPr>
        <w:spacing w:line="440" w:lineRule="exact"/>
        <w:ind w:left="899"/>
        <w:rPr>
          <w:sz w:val="24"/>
        </w:rPr>
      </w:pPr>
      <w:r>
        <w:rPr>
          <w:rFonts w:hint="eastAsia"/>
          <w:sz w:val="24"/>
        </w:rPr>
        <w:t>4) 是参加该采购项目供应商的上级主管部门、控股或参股单位的工作人员，或与该供应商存在其他经济利益关系；</w:t>
      </w:r>
    </w:p>
    <w:p>
      <w:pPr>
        <w:spacing w:line="440" w:lineRule="exact"/>
        <w:ind w:left="899"/>
        <w:rPr>
          <w:sz w:val="24"/>
        </w:rPr>
      </w:pPr>
      <w:r>
        <w:rPr>
          <w:rFonts w:hint="eastAsia"/>
          <w:sz w:val="24"/>
        </w:rPr>
        <w:t>5) 评审委员会成员之间具有配偶、近亲属关系；</w:t>
      </w:r>
    </w:p>
    <w:p>
      <w:pPr>
        <w:spacing w:line="440" w:lineRule="exact"/>
        <w:ind w:left="899"/>
        <w:rPr>
          <w:sz w:val="24"/>
        </w:rPr>
      </w:pPr>
      <w:r>
        <w:rPr>
          <w:rFonts w:hint="eastAsia"/>
          <w:sz w:val="24"/>
        </w:rPr>
        <w:t>6) 其他可能影响评审工作公正性情形。</w:t>
      </w:r>
    </w:p>
    <w:p>
      <w:pPr>
        <w:numPr>
          <w:ilvl w:val="1"/>
          <w:numId w:val="18"/>
        </w:numPr>
        <w:spacing w:line="440" w:lineRule="exact"/>
        <w:rPr>
          <w:sz w:val="24"/>
        </w:rPr>
      </w:pPr>
      <w:r>
        <w:rPr>
          <w:rFonts w:hint="eastAsia"/>
          <w:sz w:val="24"/>
        </w:rPr>
        <w:t>评标中因评标委员会成员缺席、回避或者健康等特殊原因导致评标委员会组成不符合本办法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pPr>
        <w:numPr>
          <w:ilvl w:val="1"/>
          <w:numId w:val="18"/>
        </w:numPr>
        <w:spacing w:line="440" w:lineRule="exact"/>
        <w:rPr>
          <w:sz w:val="24"/>
        </w:rPr>
      </w:pPr>
      <w:r>
        <w:rPr>
          <w:rFonts w:hint="eastAsia"/>
          <w:sz w:val="24"/>
        </w:rPr>
        <w:t>评标方法：本项目采用综合评分法，是指投标文件满足招标文件全部实质性要求，且按照评审因素的量化指标评审得分最高的投标人为中标候选人的评标方法。</w:t>
      </w:r>
    </w:p>
    <w:p>
      <w:pPr>
        <w:numPr>
          <w:ilvl w:val="1"/>
          <w:numId w:val="18"/>
        </w:numPr>
        <w:spacing w:line="440" w:lineRule="exact"/>
        <w:rPr>
          <w:sz w:val="24"/>
        </w:rPr>
      </w:pPr>
      <w:r>
        <w:rPr>
          <w:rFonts w:hint="eastAsia"/>
          <w:sz w:val="24"/>
        </w:rPr>
        <w:t>评标步骤：先进行符合性审查，再进行商务和技术评估。按照评标程序的规定和依据评分标准，各评委就每个投标人的商务状况、技术状况及其对招标文件要求的响应情况进行评议和比较，评出其商务评分和技术评分。各评委的评分的算术平均值即为该投标人的商务评分和技术评分。然后，评出价格得分。将商务评分、技术评分和价格评分相加得出综合得分（保留小数点后两位数）。</w:t>
      </w:r>
    </w:p>
    <w:p>
      <w:pPr>
        <w:numPr>
          <w:ilvl w:val="1"/>
          <w:numId w:val="18"/>
        </w:numPr>
        <w:spacing w:line="440" w:lineRule="exact"/>
        <w:rPr>
          <w:sz w:val="24"/>
        </w:rPr>
      </w:pPr>
      <w:r>
        <w:rPr>
          <w:rFonts w:hint="eastAsia"/>
          <w:sz w:val="24"/>
        </w:rPr>
        <w:t>评标委员会决定投标文件的响应性只根据投标文件本身的内容，而不寻求外部的证据。</w:t>
      </w:r>
    </w:p>
    <w:p>
      <w:pPr>
        <w:numPr>
          <w:ilvl w:val="1"/>
          <w:numId w:val="18"/>
        </w:numPr>
        <w:spacing w:line="440" w:lineRule="exact"/>
        <w:rPr>
          <w:sz w:val="24"/>
        </w:rPr>
      </w:pPr>
      <w:r>
        <w:rPr>
          <w:rFonts w:hint="eastAsia"/>
          <w:sz w:val="24"/>
        </w:rPr>
        <w:t>实质上没有响应招标文件的要求的投标将被作投标无效处理。投标人不得通过修正或撤销不合要求的偏离或保留从而使其投标成为实质上响应的投标。</w:t>
      </w:r>
    </w:p>
    <w:p>
      <w:pPr>
        <w:numPr>
          <w:ilvl w:val="0"/>
          <w:numId w:val="18"/>
        </w:numPr>
        <w:spacing w:before="120" w:beforeLines="50" w:after="120" w:afterLines="50" w:line="440" w:lineRule="exact"/>
        <w:outlineLvl w:val="2"/>
        <w:rPr>
          <w:b/>
          <w:sz w:val="24"/>
        </w:rPr>
      </w:pPr>
      <w:bookmarkStart w:id="151" w:name="_Toc10124656"/>
      <w:bookmarkStart w:id="152" w:name="_Toc521850236"/>
      <w:bookmarkStart w:id="153" w:name="_Toc170229659"/>
      <w:bookmarkStart w:id="154" w:name="_Toc317604631"/>
      <w:r>
        <w:rPr>
          <w:b/>
          <w:sz w:val="24"/>
        </w:rPr>
        <w:t>投标文件的评审</w:t>
      </w:r>
      <w:bookmarkEnd w:id="151"/>
      <w:bookmarkEnd w:id="152"/>
      <w:bookmarkEnd w:id="153"/>
      <w:bookmarkEnd w:id="154"/>
    </w:p>
    <w:p>
      <w:pPr>
        <w:numPr>
          <w:ilvl w:val="1"/>
          <w:numId w:val="18"/>
        </w:numPr>
        <w:spacing w:line="440" w:lineRule="exact"/>
        <w:rPr>
          <w:sz w:val="24"/>
        </w:rPr>
      </w:pPr>
      <w:bookmarkStart w:id="155" w:name="_Ref179621189"/>
      <w:r>
        <w:rPr>
          <w:rFonts w:hint="eastAsia"/>
          <w:sz w:val="24"/>
        </w:rPr>
        <w:t>评标委员会应当对符合资格的投标人的投标文件进行符合性审查，以确定其是否满足招标文件的实质性要求。</w:t>
      </w:r>
    </w:p>
    <w:bookmarkEnd w:id="155"/>
    <w:p>
      <w:pPr>
        <w:numPr>
          <w:ilvl w:val="1"/>
          <w:numId w:val="18"/>
        </w:numPr>
        <w:spacing w:line="440" w:lineRule="exact"/>
        <w:rPr>
          <w:sz w:val="24"/>
        </w:rPr>
      </w:pPr>
      <w:r>
        <w:rPr>
          <w:rFonts w:hint="eastAsia"/>
          <w:sz w:val="24"/>
        </w:rPr>
        <w:t>符合性审查时，投标人存在下列情况之一的，投标无效：</w:t>
      </w:r>
    </w:p>
    <w:p>
      <w:pPr>
        <w:spacing w:line="440" w:lineRule="exact"/>
        <w:ind w:left="899" w:leftChars="428"/>
        <w:rPr>
          <w:b/>
          <w:sz w:val="24"/>
        </w:rPr>
      </w:pPr>
      <w:bookmarkStart w:id="156" w:name="_Toc239500801"/>
      <w:bookmarkStart w:id="157" w:name="_Toc239500681"/>
      <w:bookmarkStart w:id="158" w:name="_Toc239500018"/>
      <w:bookmarkStart w:id="159" w:name="_Toc239501023"/>
      <w:r>
        <w:rPr>
          <w:rFonts w:hint="eastAsia"/>
          <w:b/>
          <w:sz w:val="24"/>
        </w:rPr>
        <w:t>1）</w:t>
      </w:r>
      <w:bookmarkEnd w:id="156"/>
      <w:bookmarkEnd w:id="157"/>
      <w:bookmarkEnd w:id="158"/>
      <w:bookmarkEnd w:id="159"/>
      <w:r>
        <w:rPr>
          <w:rFonts w:hint="eastAsia"/>
          <w:b/>
          <w:sz w:val="24"/>
        </w:rPr>
        <w:t>投标文件未按招标文件要求签署、盖章的。</w:t>
      </w:r>
    </w:p>
    <w:p>
      <w:pPr>
        <w:spacing w:line="440" w:lineRule="exact"/>
        <w:ind w:left="899" w:leftChars="428"/>
        <w:rPr>
          <w:sz w:val="24"/>
        </w:rPr>
      </w:pPr>
      <w:r>
        <w:rPr>
          <w:rFonts w:hint="eastAsia"/>
          <w:sz w:val="24"/>
        </w:rPr>
        <w:t>包括但不限于：①投标文件无法定代表人或其授权代表签字，或签字人无法定代表人有效授权的；②投标文件签字、盖章不符合招标文件要求的；③投标文件的关键内容字迹模糊、无法辨认的。</w:t>
      </w:r>
    </w:p>
    <w:p>
      <w:pPr>
        <w:spacing w:line="440" w:lineRule="exact"/>
        <w:ind w:left="899" w:leftChars="428"/>
        <w:rPr>
          <w:b/>
          <w:sz w:val="24"/>
        </w:rPr>
      </w:pPr>
      <w:bookmarkStart w:id="160" w:name="_Toc239501024"/>
      <w:bookmarkStart w:id="161" w:name="_Toc239500802"/>
      <w:bookmarkStart w:id="162" w:name="_Toc239500019"/>
      <w:bookmarkStart w:id="163" w:name="_Toc239500682"/>
      <w:r>
        <w:rPr>
          <w:rFonts w:hint="eastAsia"/>
          <w:b/>
          <w:sz w:val="24"/>
        </w:rPr>
        <w:t>2）报价超过招标文件中规定的预算金额或者最高限价的。</w:t>
      </w:r>
    </w:p>
    <w:p>
      <w:pPr>
        <w:spacing w:line="440" w:lineRule="exact"/>
        <w:ind w:left="899" w:leftChars="428"/>
        <w:rPr>
          <w:b/>
          <w:sz w:val="24"/>
        </w:rPr>
      </w:pPr>
      <w:r>
        <w:rPr>
          <w:rFonts w:hint="eastAsia"/>
          <w:b/>
          <w:sz w:val="24"/>
        </w:rPr>
        <w:t>3）投标文件含有采购人不能接受的附加条件的。</w:t>
      </w:r>
    </w:p>
    <w:p>
      <w:pPr>
        <w:spacing w:line="440" w:lineRule="exact"/>
        <w:ind w:left="899" w:leftChars="428"/>
        <w:rPr>
          <w:b/>
          <w:sz w:val="24"/>
        </w:rPr>
      </w:pPr>
      <w:r>
        <w:rPr>
          <w:rFonts w:hint="eastAsia"/>
          <w:b/>
          <w:sz w:val="24"/>
        </w:rPr>
        <w:t>4）投标文件未满足招标文件的实质性要求的。</w:t>
      </w:r>
    </w:p>
    <w:bookmarkEnd w:id="160"/>
    <w:bookmarkEnd w:id="161"/>
    <w:bookmarkEnd w:id="162"/>
    <w:bookmarkEnd w:id="163"/>
    <w:p>
      <w:pPr>
        <w:spacing w:line="440" w:lineRule="exact"/>
        <w:ind w:left="899" w:leftChars="428"/>
        <w:rPr>
          <w:sz w:val="24"/>
        </w:rPr>
      </w:pPr>
      <w:r>
        <w:rPr>
          <w:rFonts w:hint="eastAsia"/>
          <w:sz w:val="24"/>
        </w:rPr>
        <w:t>包括但不限于：①投标文件不满足招标文件中加注星号（★）的重要条款要求的；②投标有效期未满足招标文件要求的；③投标文件商务和技术响应与事实不符或虚假投标的；④将一个包中的内容拆开投标的；⑤投标人对同一货物或服务投标时，同时提供两套或两套以上的投标方案的；⑥其他未实质性响应招标文件要求的。</w:t>
      </w:r>
    </w:p>
    <w:p>
      <w:pPr>
        <w:spacing w:line="440" w:lineRule="exact"/>
        <w:ind w:left="899" w:leftChars="428"/>
        <w:rPr>
          <w:b/>
          <w:sz w:val="24"/>
        </w:rPr>
      </w:pPr>
      <w:bookmarkStart w:id="164" w:name="_Toc239501027"/>
      <w:r>
        <w:rPr>
          <w:rFonts w:hint="eastAsia"/>
          <w:b/>
          <w:sz w:val="24"/>
        </w:rPr>
        <w:t>5）法律、法规和招标文件规定的其他无效情形。</w:t>
      </w:r>
      <w:bookmarkEnd w:id="164"/>
    </w:p>
    <w:p>
      <w:pPr>
        <w:numPr>
          <w:ilvl w:val="1"/>
          <w:numId w:val="18"/>
        </w:numPr>
        <w:spacing w:line="440" w:lineRule="exact"/>
        <w:rPr>
          <w:sz w:val="24"/>
        </w:rPr>
      </w:pPr>
      <w:r>
        <w:rPr>
          <w:rFonts w:hint="eastAsia"/>
          <w:sz w:val="24"/>
        </w:rPr>
        <w:t>投标文件的澄清、说明或者补正</w:t>
      </w:r>
      <w:r>
        <w:rPr>
          <w:sz w:val="24"/>
        </w:rPr>
        <w:t>。</w:t>
      </w:r>
    </w:p>
    <w:p>
      <w:pPr>
        <w:numPr>
          <w:ilvl w:val="2"/>
          <w:numId w:val="18"/>
        </w:numPr>
        <w:spacing w:line="440" w:lineRule="exact"/>
        <w:rPr>
          <w:sz w:val="24"/>
        </w:rPr>
      </w:pPr>
      <w:r>
        <w:rPr>
          <w:rFonts w:hint="eastAsia"/>
          <w:sz w:val="24"/>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sz w:val="24"/>
        </w:rPr>
        <w:t>根据本须知第</w:t>
      </w:r>
      <w:r>
        <w:rPr>
          <w:rFonts w:hint="eastAsia"/>
          <w:sz w:val="24"/>
        </w:rPr>
        <w:t>23.3.4</w:t>
      </w:r>
      <w:r>
        <w:rPr>
          <w:sz w:val="24"/>
        </w:rPr>
        <w:t>条规定，凡属于评标委员会在评标中发现的计算错误进行核实的修改不在此列</w:t>
      </w:r>
      <w:r>
        <w:rPr>
          <w:rFonts w:hint="eastAsia"/>
          <w:sz w:val="24"/>
        </w:rPr>
        <w:t>。</w:t>
      </w:r>
    </w:p>
    <w:p>
      <w:pPr>
        <w:numPr>
          <w:ilvl w:val="1"/>
          <w:numId w:val="18"/>
        </w:numPr>
        <w:spacing w:line="440" w:lineRule="exact"/>
        <w:rPr>
          <w:sz w:val="24"/>
        </w:rPr>
      </w:pPr>
      <w:r>
        <w:rPr>
          <w:rFonts w:hint="eastAsia"/>
          <w:sz w:val="24"/>
        </w:rPr>
        <w:t>投标文件的比较与评价。</w:t>
      </w:r>
    </w:p>
    <w:p>
      <w:pPr>
        <w:pStyle w:val="114"/>
        <w:spacing w:line="440" w:lineRule="exact"/>
        <w:ind w:left="899" w:leftChars="428" w:firstLine="0" w:firstLineChars="0"/>
        <w:rPr>
          <w:rFonts w:ascii="Times New Roman" w:hAnsi="Times New Roman" w:eastAsia="宋体"/>
          <w:sz w:val="24"/>
          <w:szCs w:val="24"/>
        </w:rPr>
      </w:pPr>
      <w:r>
        <w:rPr>
          <w:rFonts w:hint="eastAsia" w:ascii="Times New Roman" w:hAnsi="Times New Roman" w:eastAsia="宋体"/>
          <w:sz w:val="24"/>
          <w:szCs w:val="24"/>
        </w:rPr>
        <w:t>评标委员会按照招标文件中规定的评标方法和标准，对符合性审查合格的投标文件进行商务和技术评估，综合比较与评价。</w:t>
      </w:r>
    </w:p>
    <w:p>
      <w:pPr>
        <w:numPr>
          <w:ilvl w:val="2"/>
          <w:numId w:val="18"/>
        </w:numPr>
        <w:spacing w:line="440" w:lineRule="exact"/>
        <w:rPr>
          <w:sz w:val="24"/>
        </w:rPr>
      </w:pPr>
      <w:r>
        <w:rPr>
          <w:rFonts w:hint="eastAsia"/>
          <w:sz w:val="24"/>
        </w:rPr>
        <w:t>商务评分：评标委员会对投标人的商务状况及响应程度进行评议和比较，并依据评分标准，评出其商务评分。</w:t>
      </w:r>
    </w:p>
    <w:p>
      <w:pPr>
        <w:numPr>
          <w:ilvl w:val="2"/>
          <w:numId w:val="18"/>
        </w:numPr>
        <w:spacing w:line="440" w:lineRule="exact"/>
        <w:rPr>
          <w:sz w:val="24"/>
        </w:rPr>
      </w:pPr>
      <w:r>
        <w:rPr>
          <w:rFonts w:hint="eastAsia"/>
          <w:sz w:val="24"/>
        </w:rPr>
        <w:t>技术评分：评标委员会对投标人的技术状况及响应程度进行评议和比较，并依据评分标准，评出其技术评分。</w:t>
      </w:r>
    </w:p>
    <w:p>
      <w:pPr>
        <w:numPr>
          <w:ilvl w:val="2"/>
          <w:numId w:val="18"/>
        </w:numPr>
        <w:spacing w:line="440" w:lineRule="exact"/>
        <w:rPr>
          <w:b/>
          <w:sz w:val="24"/>
        </w:rPr>
      </w:pPr>
      <w:r>
        <w:rPr>
          <w:rFonts w:hint="eastAsia"/>
          <w:b/>
          <w:sz w:val="24"/>
        </w:rPr>
        <w:t>价格评分：评标委员会对投标人的投标报价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pPr>
        <w:numPr>
          <w:ilvl w:val="1"/>
          <w:numId w:val="18"/>
        </w:numPr>
        <w:spacing w:line="440" w:lineRule="exact"/>
        <w:rPr>
          <w:sz w:val="24"/>
        </w:rPr>
      </w:pPr>
      <w:r>
        <w:rPr>
          <w:rFonts w:hint="eastAsia"/>
          <w:sz w:val="24"/>
        </w:rPr>
        <w:t>对小型、微型企业或监狱企业或残疾人福利性单位投标的扶持</w:t>
      </w:r>
      <w:r>
        <w:rPr>
          <w:rFonts w:hint="eastAsia"/>
          <w:b/>
          <w:sz w:val="24"/>
        </w:rPr>
        <w:t>（专门面向中小企业采购的项目或者采购包，不再执行价格评审优惠的扶持政策）</w:t>
      </w:r>
    </w:p>
    <w:p>
      <w:pPr>
        <w:numPr>
          <w:ilvl w:val="2"/>
          <w:numId w:val="18"/>
        </w:numPr>
        <w:spacing w:line="440" w:lineRule="exact"/>
        <w:rPr>
          <w:sz w:val="24"/>
        </w:rPr>
      </w:pPr>
      <w:r>
        <w:rPr>
          <w:rFonts w:hint="eastAsia"/>
          <w:sz w:val="24"/>
        </w:rPr>
        <w:t>根据财政部、工业和信息化部关于印发《政府采购促进中小企业发展管理办法》的通知及《财政部 司法部关于政府采购支持监狱企业发展有关问题的通知》（财库〔2014〕68号）及《三部门联合发布关于促进残疾人就业政府采购政策的通知》（财库〔2017〕141号）的规定，对小型、微型企业或监狱企业或残疾人福利性单位的报价给予扣除，用扣除后的价格参加评审；供应商提供的货物既有中小企业制造货物，也有大型企业制造货物的，不享受规定的中小企业扶持政策。</w:t>
      </w:r>
      <w:r>
        <w:rPr>
          <w:rFonts w:hint="eastAsia"/>
          <w:b/>
          <w:sz w:val="24"/>
        </w:rPr>
        <w:t>参加政府采购活动的中小企业或残疾人福利性单位应按照招标文件中投标文件格式提供《中小微企业声明函》或《残疾人福利性单位声明函》。</w:t>
      </w:r>
    </w:p>
    <w:p>
      <w:pPr>
        <w:numPr>
          <w:ilvl w:val="2"/>
          <w:numId w:val="18"/>
        </w:numPr>
        <w:spacing w:line="440" w:lineRule="exact"/>
        <w:rPr>
          <w:sz w:val="24"/>
        </w:rPr>
      </w:pPr>
      <w:r>
        <w:rPr>
          <w:rFonts w:hint="eastAsia"/>
          <w:sz w:val="24"/>
        </w:rPr>
        <w:t>对于非专门面向中小微企业、监狱企业或残疾人福利性单位采购的项目，依照《政府采购促进中小企业发展管理办法》及《财政部 司法部关于政府采购支持监狱企业发展有关问题的通知》及《三部门联合发布关于促进残疾人就业政府采购政策的通知》的规定，凡符合要求的有效投标人，按照以下比例给予相应的价格扣除：</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977"/>
        <w:gridCol w:w="198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Align w:val="center"/>
          </w:tcPr>
          <w:p>
            <w:pPr>
              <w:snapToGrid w:val="0"/>
              <w:jc w:val="center"/>
              <w:rPr>
                <w:b/>
                <w:sz w:val="24"/>
                <w:szCs w:val="21"/>
                <w:lang w:val="en-GB"/>
              </w:rPr>
            </w:pPr>
            <w:r>
              <w:rPr>
                <w:rFonts w:hint="eastAsia"/>
                <w:b/>
                <w:sz w:val="24"/>
                <w:szCs w:val="21"/>
                <w:lang w:val="en-GB"/>
              </w:rPr>
              <w:t>序号</w:t>
            </w:r>
          </w:p>
        </w:tc>
        <w:tc>
          <w:tcPr>
            <w:tcW w:w="2977" w:type="dxa"/>
            <w:vAlign w:val="center"/>
          </w:tcPr>
          <w:p>
            <w:pPr>
              <w:snapToGrid w:val="0"/>
              <w:jc w:val="center"/>
              <w:rPr>
                <w:b/>
                <w:sz w:val="24"/>
                <w:szCs w:val="21"/>
                <w:lang w:val="en-GB"/>
              </w:rPr>
            </w:pPr>
            <w:r>
              <w:rPr>
                <w:rFonts w:hint="eastAsia"/>
                <w:b/>
                <w:sz w:val="24"/>
                <w:szCs w:val="21"/>
                <w:lang w:val="en-GB"/>
              </w:rPr>
              <w:t>情形</w:t>
            </w:r>
          </w:p>
        </w:tc>
        <w:tc>
          <w:tcPr>
            <w:tcW w:w="1984" w:type="dxa"/>
            <w:vAlign w:val="center"/>
          </w:tcPr>
          <w:p>
            <w:pPr>
              <w:snapToGrid w:val="0"/>
              <w:jc w:val="center"/>
              <w:rPr>
                <w:b/>
                <w:sz w:val="24"/>
                <w:szCs w:val="21"/>
                <w:lang w:val="en-GB"/>
              </w:rPr>
            </w:pPr>
            <w:r>
              <w:rPr>
                <w:rFonts w:hint="eastAsia"/>
                <w:b/>
                <w:sz w:val="24"/>
                <w:szCs w:val="21"/>
              </w:rPr>
              <w:t>价格扣除</w:t>
            </w:r>
            <w:r>
              <w:rPr>
                <w:rFonts w:hint="eastAsia"/>
                <w:b/>
                <w:sz w:val="24"/>
                <w:szCs w:val="21"/>
                <w:lang w:val="en-GB"/>
              </w:rPr>
              <w:t>比例</w:t>
            </w:r>
          </w:p>
        </w:tc>
        <w:tc>
          <w:tcPr>
            <w:tcW w:w="2126" w:type="dxa"/>
            <w:vAlign w:val="center"/>
          </w:tcPr>
          <w:p>
            <w:pPr>
              <w:snapToGrid w:val="0"/>
              <w:jc w:val="center"/>
              <w:rPr>
                <w:b/>
                <w:sz w:val="24"/>
                <w:szCs w:val="21"/>
                <w:lang w:val="en-GB"/>
              </w:rPr>
            </w:pPr>
            <w:r>
              <w:rPr>
                <w:rFonts w:hint="eastAsia"/>
                <w:b/>
                <w:sz w:val="24"/>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9" w:type="dxa"/>
            <w:vAlign w:val="center"/>
          </w:tcPr>
          <w:p>
            <w:pPr>
              <w:snapToGrid w:val="0"/>
              <w:jc w:val="center"/>
              <w:rPr>
                <w:sz w:val="24"/>
                <w:szCs w:val="21"/>
                <w:lang w:val="en-GB"/>
              </w:rPr>
            </w:pPr>
            <w:r>
              <w:rPr>
                <w:rFonts w:hint="eastAsia"/>
                <w:sz w:val="24"/>
                <w:szCs w:val="21"/>
                <w:lang w:val="en-GB"/>
              </w:rPr>
              <w:t>1</w:t>
            </w:r>
          </w:p>
        </w:tc>
        <w:tc>
          <w:tcPr>
            <w:tcW w:w="2977" w:type="dxa"/>
            <w:vAlign w:val="center"/>
          </w:tcPr>
          <w:p>
            <w:pPr>
              <w:snapToGrid w:val="0"/>
              <w:jc w:val="center"/>
              <w:rPr>
                <w:sz w:val="24"/>
                <w:szCs w:val="21"/>
                <w:lang w:val="en-GB"/>
              </w:rPr>
            </w:pPr>
            <w:r>
              <w:rPr>
                <w:rFonts w:hint="eastAsia"/>
                <w:sz w:val="24"/>
                <w:szCs w:val="21"/>
                <w:lang w:val="en-GB"/>
              </w:rPr>
              <w:t>非联合体</w:t>
            </w:r>
          </w:p>
          <w:p>
            <w:pPr>
              <w:snapToGrid w:val="0"/>
              <w:jc w:val="center"/>
              <w:rPr>
                <w:sz w:val="24"/>
                <w:szCs w:val="21"/>
                <w:lang w:val="en-GB"/>
              </w:rPr>
            </w:pPr>
            <w:r>
              <w:rPr>
                <w:rFonts w:hint="eastAsia"/>
                <w:sz w:val="24"/>
                <w:szCs w:val="21"/>
                <w:lang w:val="en-GB"/>
              </w:rPr>
              <w:t>（须为小型、微型企业或监狱企业或残疾人福利性单位）</w:t>
            </w:r>
          </w:p>
        </w:tc>
        <w:tc>
          <w:tcPr>
            <w:tcW w:w="1984" w:type="dxa"/>
            <w:vAlign w:val="center"/>
          </w:tcPr>
          <w:p>
            <w:pPr>
              <w:snapToGrid w:val="0"/>
              <w:jc w:val="center"/>
              <w:rPr>
                <w:sz w:val="24"/>
                <w:szCs w:val="21"/>
              </w:rPr>
            </w:pPr>
            <w:r>
              <w:rPr>
                <w:rFonts w:hint="eastAsia"/>
                <w:sz w:val="24"/>
                <w:szCs w:val="21"/>
              </w:rPr>
              <w:t>对小型、微型企业或监狱企业或残疾人福利性单位的报价给予10%的扣除</w:t>
            </w:r>
          </w:p>
        </w:tc>
        <w:tc>
          <w:tcPr>
            <w:tcW w:w="2126" w:type="dxa"/>
            <w:vMerge w:val="restart"/>
            <w:vAlign w:val="center"/>
          </w:tcPr>
          <w:p>
            <w:pPr>
              <w:snapToGrid w:val="0"/>
              <w:jc w:val="center"/>
              <w:rPr>
                <w:sz w:val="24"/>
                <w:szCs w:val="21"/>
                <w:lang w:val="en-GB"/>
              </w:rPr>
            </w:pPr>
            <w:r>
              <w:rPr>
                <w:rFonts w:hint="eastAsia"/>
                <w:sz w:val="24"/>
                <w:szCs w:val="21"/>
                <w:lang w:val="en-GB"/>
              </w:rPr>
              <w:t>评标价=小型、微型企业或监狱企业或残疾人福利性单位的报价×（1-10%）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9" w:type="dxa"/>
            <w:vAlign w:val="center"/>
          </w:tcPr>
          <w:p>
            <w:pPr>
              <w:snapToGrid w:val="0"/>
              <w:jc w:val="center"/>
              <w:rPr>
                <w:sz w:val="24"/>
                <w:szCs w:val="21"/>
                <w:lang w:val="en-GB"/>
              </w:rPr>
            </w:pPr>
            <w:r>
              <w:rPr>
                <w:rFonts w:hint="eastAsia"/>
                <w:sz w:val="24"/>
                <w:szCs w:val="21"/>
                <w:lang w:val="en-GB"/>
              </w:rPr>
              <w:t>2</w:t>
            </w:r>
          </w:p>
        </w:tc>
        <w:tc>
          <w:tcPr>
            <w:tcW w:w="2977" w:type="dxa"/>
            <w:vAlign w:val="center"/>
          </w:tcPr>
          <w:p>
            <w:pPr>
              <w:snapToGrid w:val="0"/>
              <w:jc w:val="center"/>
              <w:rPr>
                <w:sz w:val="24"/>
                <w:szCs w:val="21"/>
              </w:rPr>
            </w:pPr>
            <w:r>
              <w:rPr>
                <w:rFonts w:hint="eastAsia"/>
                <w:sz w:val="24"/>
                <w:szCs w:val="21"/>
                <w:lang w:val="en-GB"/>
              </w:rPr>
              <w:t>联合体各方均为小型、微型企业或监狱企业或残疾人福利性单位</w:t>
            </w:r>
          </w:p>
        </w:tc>
        <w:tc>
          <w:tcPr>
            <w:tcW w:w="1984" w:type="dxa"/>
            <w:vAlign w:val="center"/>
          </w:tcPr>
          <w:p>
            <w:pPr>
              <w:snapToGrid w:val="0"/>
              <w:jc w:val="center"/>
              <w:rPr>
                <w:sz w:val="24"/>
                <w:szCs w:val="21"/>
              </w:rPr>
            </w:pPr>
            <w:r>
              <w:rPr>
                <w:rFonts w:hint="eastAsia"/>
                <w:sz w:val="24"/>
                <w:szCs w:val="21"/>
              </w:rPr>
              <w:t>对小型、微型企业或监狱企业或残疾人福利性单位的报价给予10%的扣除</w:t>
            </w:r>
          </w:p>
          <w:p>
            <w:pPr>
              <w:snapToGrid w:val="0"/>
              <w:jc w:val="center"/>
              <w:rPr>
                <w:sz w:val="24"/>
                <w:szCs w:val="21"/>
              </w:rPr>
            </w:pPr>
            <w:r>
              <w:rPr>
                <w:rFonts w:hint="eastAsia"/>
                <w:sz w:val="24"/>
                <w:szCs w:val="21"/>
              </w:rPr>
              <w:t>（不再享受序号3的价格折扣）</w:t>
            </w:r>
          </w:p>
        </w:tc>
        <w:tc>
          <w:tcPr>
            <w:tcW w:w="2126" w:type="dxa"/>
            <w:vMerge w:val="continue"/>
          </w:tcPr>
          <w:p>
            <w:pPr>
              <w:snapToGrid w:val="0"/>
              <w:jc w:val="center"/>
              <w:rPr>
                <w:sz w:val="24"/>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59" w:type="dxa"/>
            <w:vAlign w:val="center"/>
          </w:tcPr>
          <w:p>
            <w:pPr>
              <w:snapToGrid w:val="0"/>
              <w:jc w:val="center"/>
              <w:rPr>
                <w:sz w:val="24"/>
                <w:szCs w:val="21"/>
                <w:lang w:val="en-GB"/>
              </w:rPr>
            </w:pPr>
            <w:r>
              <w:rPr>
                <w:rFonts w:hint="eastAsia"/>
                <w:sz w:val="24"/>
                <w:szCs w:val="21"/>
                <w:lang w:val="en-GB"/>
              </w:rPr>
              <w:t>3</w:t>
            </w:r>
          </w:p>
        </w:tc>
        <w:tc>
          <w:tcPr>
            <w:tcW w:w="2977" w:type="dxa"/>
            <w:vAlign w:val="center"/>
          </w:tcPr>
          <w:p>
            <w:pPr>
              <w:snapToGrid w:val="0"/>
              <w:jc w:val="center"/>
              <w:rPr>
                <w:sz w:val="24"/>
                <w:szCs w:val="21"/>
                <w:lang w:val="en-GB"/>
              </w:rPr>
            </w:pPr>
            <w:r>
              <w:rPr>
                <w:rFonts w:hint="eastAsia"/>
                <w:sz w:val="24"/>
                <w:szCs w:val="21"/>
                <w:lang w:val="en-GB"/>
              </w:rPr>
              <w:t>联合体一方为小型、微型企业或监狱企业或残疾人福利性单位且小型、微型企业或监狱企业或残疾人福利性单位协议合同金额占联合体协议合同总金额30%以上的</w:t>
            </w:r>
          </w:p>
        </w:tc>
        <w:tc>
          <w:tcPr>
            <w:tcW w:w="1984" w:type="dxa"/>
            <w:vAlign w:val="center"/>
          </w:tcPr>
          <w:p>
            <w:pPr>
              <w:snapToGrid w:val="0"/>
              <w:jc w:val="center"/>
              <w:rPr>
                <w:sz w:val="24"/>
                <w:szCs w:val="21"/>
              </w:rPr>
            </w:pPr>
            <w:r>
              <w:rPr>
                <w:rFonts w:hint="eastAsia"/>
                <w:sz w:val="24"/>
                <w:szCs w:val="21"/>
              </w:rPr>
              <w:t>对联合体的报价给予3%的扣除</w:t>
            </w:r>
          </w:p>
        </w:tc>
        <w:tc>
          <w:tcPr>
            <w:tcW w:w="2126" w:type="dxa"/>
            <w:vAlign w:val="center"/>
          </w:tcPr>
          <w:p>
            <w:pPr>
              <w:snapToGrid w:val="0"/>
              <w:jc w:val="center"/>
              <w:rPr>
                <w:sz w:val="24"/>
                <w:szCs w:val="21"/>
                <w:lang w:val="en-GB"/>
              </w:rPr>
            </w:pPr>
            <w:r>
              <w:rPr>
                <w:rFonts w:hint="eastAsia"/>
                <w:sz w:val="24"/>
                <w:szCs w:val="21"/>
                <w:lang w:val="en-GB"/>
              </w:rPr>
              <w:t>评标价＝联合体的报价×(1-3%)</w:t>
            </w:r>
          </w:p>
        </w:tc>
      </w:tr>
    </w:tbl>
    <w:p>
      <w:pPr>
        <w:spacing w:line="440" w:lineRule="exact"/>
        <w:ind w:left="899" w:leftChars="428"/>
        <w:rPr>
          <w:sz w:val="24"/>
        </w:rPr>
      </w:pPr>
      <w:r>
        <w:rPr>
          <w:rFonts w:hint="eastAsia"/>
          <w:sz w:val="24"/>
        </w:rPr>
        <w:t>注：①上述评标价仅用于计算价格评分，中标金额以实际</w:t>
      </w:r>
      <w:r>
        <w:rPr>
          <w:rFonts w:hint="eastAsia"/>
          <w:sz w:val="24"/>
          <w:szCs w:val="21"/>
          <w:lang w:val="en-GB"/>
        </w:rPr>
        <w:t>投标报价</w:t>
      </w:r>
      <w:r>
        <w:rPr>
          <w:rFonts w:hint="eastAsia"/>
          <w:sz w:val="24"/>
        </w:rPr>
        <w:t>为准。</w:t>
      </w:r>
    </w:p>
    <w:p>
      <w:pPr>
        <w:spacing w:line="440" w:lineRule="exact"/>
        <w:ind w:left="899" w:leftChars="428"/>
        <w:rPr>
          <w:sz w:val="24"/>
        </w:rPr>
      </w:pPr>
      <w:r>
        <w:rPr>
          <w:rFonts w:hint="eastAsia"/>
          <w:sz w:val="24"/>
        </w:rPr>
        <w:t>②小型、微型企业是指投标企业及其所投产品的制造商均为小型、微型企业。</w:t>
      </w:r>
    </w:p>
    <w:p>
      <w:pPr>
        <w:numPr>
          <w:ilvl w:val="2"/>
          <w:numId w:val="18"/>
        </w:numPr>
        <w:spacing w:line="440" w:lineRule="exact"/>
        <w:rPr>
          <w:sz w:val="24"/>
        </w:rPr>
      </w:pPr>
      <w:r>
        <w:rPr>
          <w:rFonts w:hint="eastAsia"/>
          <w:sz w:val="24"/>
        </w:rPr>
        <w:t>《政府采购促进中小企业发展管理办法》所称中小企业（含中型、小型、微型企业，下同）应当同时符合以下条件：</w:t>
      </w:r>
    </w:p>
    <w:p>
      <w:pPr>
        <w:spacing w:line="440" w:lineRule="exact"/>
        <w:ind w:left="899" w:leftChars="428"/>
        <w:rPr>
          <w:sz w:val="24"/>
        </w:rPr>
      </w:pPr>
      <w:r>
        <w:rPr>
          <w:rFonts w:hint="eastAsia"/>
          <w:sz w:val="24"/>
        </w:rPr>
        <w:t>①符合中小企业划分标准；</w:t>
      </w:r>
    </w:p>
    <w:p>
      <w:pPr>
        <w:spacing w:line="440" w:lineRule="exact"/>
        <w:ind w:left="899" w:leftChars="428"/>
        <w:rPr>
          <w:sz w:val="24"/>
        </w:rPr>
      </w:pPr>
      <w:r>
        <w:rPr>
          <w:rFonts w:hint="eastAsia"/>
          <w:sz w:val="24"/>
        </w:rPr>
        <w:t>中小企业划分标准以工业和信息化部、国家统计局、国家发展和改革委、财政部《关于印发中小企业划型标准规定的通知》（</w:t>
      </w:r>
      <w:r>
        <w:rPr>
          <w:sz w:val="24"/>
        </w:rPr>
        <w:t>工信部联企业〔2011〕300号</w:t>
      </w:r>
      <w:r>
        <w:rPr>
          <w:rFonts w:hint="eastAsia"/>
          <w:sz w:val="24"/>
        </w:rPr>
        <w:t>）规定的划分标准为准。小型、微型企业提供中型企业制造的货物的，视同为中型企业。</w:t>
      </w:r>
    </w:p>
    <w:p>
      <w:pPr>
        <w:spacing w:line="440" w:lineRule="exact"/>
        <w:ind w:left="899" w:leftChars="428"/>
        <w:rPr>
          <w:sz w:val="24"/>
        </w:rPr>
      </w:pPr>
      <w:r>
        <w:rPr>
          <w:rFonts w:hint="eastAsia"/>
          <w:sz w:val="24"/>
        </w:rPr>
        <w:t>②提供本企业制造的货物、承担的工程或者服务，或者提供其他小型和微型企业制造的货物。本项所称货物不包括使用大型企业注册商标的货物。</w:t>
      </w:r>
    </w:p>
    <w:p>
      <w:pPr>
        <w:numPr>
          <w:ilvl w:val="2"/>
          <w:numId w:val="18"/>
        </w:numPr>
        <w:spacing w:line="440" w:lineRule="exact"/>
        <w:rPr>
          <w:sz w:val="24"/>
        </w:rPr>
      </w:pPr>
      <w:r>
        <w:rPr>
          <w:rFonts w:hint="eastAsia"/>
          <w:sz w:val="24"/>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numPr>
          <w:ilvl w:val="2"/>
          <w:numId w:val="18"/>
        </w:numPr>
        <w:spacing w:line="440" w:lineRule="exact"/>
        <w:rPr>
          <w:sz w:val="24"/>
        </w:rPr>
      </w:pPr>
      <w:r>
        <w:rPr>
          <w:rFonts w:hint="eastAsia"/>
          <w:sz w:val="24"/>
        </w:rPr>
        <w:t>根据财库〔2017〕141号《三部门联合发布关于促进残疾人就业政府采购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numPr>
          <w:ilvl w:val="3"/>
          <w:numId w:val="18"/>
        </w:numPr>
        <w:spacing w:line="440" w:lineRule="exact"/>
        <w:rPr>
          <w:sz w:val="24"/>
        </w:rPr>
      </w:pPr>
      <w:r>
        <w:rPr>
          <w:rFonts w:hint="eastAsia"/>
          <w:sz w:val="24"/>
        </w:rPr>
        <w:t>享受政府采购支持政策的残疾人福利性单位应当同时满足以下条件：</w:t>
      </w:r>
    </w:p>
    <w:p>
      <w:pPr>
        <w:spacing w:line="440" w:lineRule="exact"/>
        <w:ind w:left="899" w:leftChars="428"/>
        <w:rPr>
          <w:sz w:val="24"/>
        </w:rPr>
      </w:pPr>
      <w:r>
        <w:rPr>
          <w:rFonts w:hint="eastAsia"/>
          <w:sz w:val="24"/>
        </w:rPr>
        <w:t>①安置的残疾人占本单位在职职工人数的比例不低于25%（含25%），并且安置的残疾人人数不少于10人（含10人）；</w:t>
      </w:r>
    </w:p>
    <w:p>
      <w:pPr>
        <w:spacing w:line="440" w:lineRule="exact"/>
        <w:ind w:left="899" w:leftChars="428"/>
        <w:rPr>
          <w:sz w:val="24"/>
        </w:rPr>
      </w:pPr>
      <w:r>
        <w:rPr>
          <w:rFonts w:hint="eastAsia"/>
          <w:sz w:val="24"/>
        </w:rPr>
        <w:t>②依法与安置的每位残疾人签订了一年以上（含一年）的劳动合同或服务协议；</w:t>
      </w:r>
    </w:p>
    <w:p>
      <w:pPr>
        <w:spacing w:line="440" w:lineRule="exact"/>
        <w:ind w:left="899" w:leftChars="428"/>
        <w:rPr>
          <w:sz w:val="24"/>
        </w:rPr>
      </w:pPr>
      <w:r>
        <w:rPr>
          <w:rFonts w:hint="eastAsia"/>
          <w:sz w:val="24"/>
        </w:rPr>
        <w:t>③为安置的每位残疾人按月足额缴纳了基本养老保险、基本医疗保险、失业保险、工伤保险和生育保险等社会保险费；</w:t>
      </w:r>
    </w:p>
    <w:p>
      <w:pPr>
        <w:spacing w:line="440" w:lineRule="exact"/>
        <w:ind w:left="899" w:leftChars="428"/>
        <w:rPr>
          <w:sz w:val="24"/>
        </w:rPr>
      </w:pPr>
      <w:r>
        <w:rPr>
          <w:rFonts w:hint="eastAsia"/>
          <w:sz w:val="24"/>
        </w:rPr>
        <w:t>④通过银行等金融机构向安置的每位残疾人，按月支付了不低于单位所在区县适用的经省级人民政府批准的月最低工资标准的工资；</w:t>
      </w:r>
    </w:p>
    <w:p>
      <w:pPr>
        <w:spacing w:line="440" w:lineRule="exact"/>
        <w:ind w:left="899" w:leftChars="428"/>
        <w:rPr>
          <w:sz w:val="24"/>
        </w:rPr>
      </w:pPr>
      <w:r>
        <w:rPr>
          <w:rFonts w:hint="eastAsia"/>
          <w:sz w:val="24"/>
        </w:rPr>
        <w:t>⑤提供本单位制造的货物、承担的工程或者服务（以下简称产品），或者提供其他残疾人福利性单位制造的货物（不包括使用非残疾人福利性单位注册商标的货物）。</w:t>
      </w:r>
    </w:p>
    <w:p>
      <w:pPr>
        <w:spacing w:line="440" w:lineRule="exact"/>
        <w:ind w:left="899" w:leftChars="428"/>
        <w:rPr>
          <w:sz w:val="24"/>
        </w:rPr>
      </w:pPr>
      <w:r>
        <w:rPr>
          <w:rFonts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3"/>
          <w:numId w:val="18"/>
        </w:numPr>
        <w:spacing w:line="440" w:lineRule="exact"/>
        <w:rPr>
          <w:sz w:val="24"/>
        </w:rPr>
      </w:pPr>
      <w:r>
        <w:rPr>
          <w:rFonts w:hint="eastAsia"/>
          <w:sz w:val="24"/>
        </w:rPr>
        <w:t>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供应商提供的《残疾人福利性单位声明函》与事实不符的，依照《政府采购法》第七十七条第一款的规定追究法律责任。</w:t>
      </w:r>
    </w:p>
    <w:p>
      <w:pPr>
        <w:numPr>
          <w:ilvl w:val="1"/>
          <w:numId w:val="18"/>
        </w:numPr>
        <w:spacing w:line="440" w:lineRule="exact"/>
        <w:rPr>
          <w:sz w:val="24"/>
        </w:rPr>
      </w:pPr>
      <w:r>
        <w:rPr>
          <w:rFonts w:hint="eastAsia"/>
          <w:sz w:val="24"/>
        </w:rPr>
        <w:t>推荐中标候选人名单</w:t>
      </w:r>
    </w:p>
    <w:p>
      <w:pPr>
        <w:pStyle w:val="114"/>
        <w:spacing w:line="440" w:lineRule="exact"/>
        <w:ind w:left="899" w:leftChars="428" w:firstLine="0" w:firstLineChars="0"/>
        <w:rPr>
          <w:rFonts w:ascii="Times New Roman" w:hAnsi="Times New Roman" w:eastAsia="宋体"/>
          <w:sz w:val="24"/>
          <w:szCs w:val="24"/>
        </w:rPr>
      </w:pPr>
      <w:r>
        <w:rPr>
          <w:rFonts w:hint="eastAsia" w:ascii="Times New Roman" w:hAnsi="Times New Roman" w:eastAsia="宋体"/>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审得分次高的投标人为排名第二的中标候选人，依次类推。</w:t>
      </w:r>
    </w:p>
    <w:p>
      <w:pPr>
        <w:numPr>
          <w:ilvl w:val="1"/>
          <w:numId w:val="18"/>
        </w:numPr>
        <w:spacing w:line="440" w:lineRule="exact"/>
        <w:rPr>
          <w:sz w:val="24"/>
        </w:rPr>
      </w:pPr>
      <w:r>
        <w:rPr>
          <w:rFonts w:hint="eastAsia"/>
          <w:sz w:val="24"/>
        </w:rPr>
        <w:t>投标截止后投标人不足3家或者通过资格审查或符合性审查的投标人不足3家的，采购代理机构将依法重新招标或按照采购人同意的采购方式继续采购（公开招标数额标准以上的采购项目，除采购任务取消情形外，按照以下方式处理：1.招标文件存在不合理条款或者招标程序不符合规定的，采购人、采购代理机构改正后依法重新招标；2.招标文件没有不合理条款、招标程序符合规定，需要采用其他采购方式采购的，采购人应当依法报财政部门批准。）</w:t>
      </w:r>
    </w:p>
    <w:p>
      <w:pPr>
        <w:numPr>
          <w:ilvl w:val="1"/>
          <w:numId w:val="18"/>
        </w:numPr>
        <w:spacing w:line="440" w:lineRule="exact"/>
        <w:rPr>
          <w:sz w:val="24"/>
        </w:rPr>
      </w:pPr>
      <w:r>
        <w:rPr>
          <w:rFonts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将根据采购项目技术构成、产品价格比重等合理确定核心产品，并在招标文件中载明。多家投标人提供的核心产品品牌相同的，按上述规定处理。</w:t>
      </w:r>
    </w:p>
    <w:p>
      <w:pPr>
        <w:numPr>
          <w:ilvl w:val="1"/>
          <w:numId w:val="18"/>
        </w:numPr>
        <w:spacing w:line="440" w:lineRule="exact"/>
        <w:rPr>
          <w:sz w:val="24"/>
        </w:rPr>
      </w:pPr>
      <w:r>
        <w:rPr>
          <w:rFonts w:hint="eastAsia"/>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before="240" w:beforeLines="100" w:after="240" w:afterLines="100" w:line="440" w:lineRule="exact"/>
        <w:jc w:val="center"/>
        <w:outlineLvl w:val="1"/>
        <w:rPr>
          <w:b/>
          <w:bCs/>
          <w:sz w:val="44"/>
          <w:szCs w:val="44"/>
        </w:rPr>
      </w:pPr>
      <w:bookmarkStart w:id="165" w:name="_Toc317604632"/>
      <w:bookmarkStart w:id="166" w:name="_Toc10124657"/>
      <w:bookmarkStart w:id="167" w:name="_Toc170229660"/>
      <w:bookmarkStart w:id="168" w:name="_Toc521850237"/>
      <w:r>
        <w:rPr>
          <w:rFonts w:hint="eastAsia"/>
          <w:b/>
          <w:bCs/>
          <w:sz w:val="44"/>
          <w:szCs w:val="44"/>
        </w:rPr>
        <w:t>六、合同的授予</w:t>
      </w:r>
      <w:bookmarkEnd w:id="165"/>
      <w:bookmarkEnd w:id="166"/>
      <w:bookmarkEnd w:id="167"/>
      <w:bookmarkEnd w:id="168"/>
    </w:p>
    <w:p>
      <w:pPr>
        <w:numPr>
          <w:ilvl w:val="0"/>
          <w:numId w:val="18"/>
        </w:numPr>
        <w:spacing w:before="120" w:beforeLines="50" w:after="120" w:afterLines="50" w:line="440" w:lineRule="exact"/>
        <w:outlineLvl w:val="2"/>
        <w:rPr>
          <w:b/>
          <w:sz w:val="24"/>
        </w:rPr>
      </w:pPr>
      <w:bookmarkStart w:id="169" w:name="_Toc317604633"/>
      <w:bookmarkStart w:id="170" w:name="_Toc521850238"/>
      <w:bookmarkStart w:id="171" w:name="_Toc10124658"/>
      <w:bookmarkStart w:id="172" w:name="_Toc170229661"/>
      <w:r>
        <w:rPr>
          <w:b/>
          <w:sz w:val="24"/>
        </w:rPr>
        <w:t>合同授予标准</w:t>
      </w:r>
      <w:bookmarkEnd w:id="169"/>
      <w:bookmarkEnd w:id="170"/>
      <w:bookmarkEnd w:id="171"/>
      <w:bookmarkEnd w:id="172"/>
    </w:p>
    <w:p>
      <w:pPr>
        <w:numPr>
          <w:ilvl w:val="1"/>
          <w:numId w:val="18"/>
        </w:numPr>
        <w:spacing w:line="440" w:lineRule="exact"/>
        <w:rPr>
          <w:sz w:val="24"/>
        </w:rPr>
      </w:pPr>
      <w:r>
        <w:rPr>
          <w:rFonts w:hint="eastAsia"/>
          <w:sz w:val="24"/>
        </w:rPr>
        <w:t>采购人按评标委员会得出的评标结果，在评标委员会推荐的中标候选人中依法确定中标人，并将合同授予之</w:t>
      </w:r>
      <w:r>
        <w:rPr>
          <w:sz w:val="24"/>
        </w:rPr>
        <w:t>。</w:t>
      </w:r>
    </w:p>
    <w:p>
      <w:pPr>
        <w:numPr>
          <w:ilvl w:val="0"/>
          <w:numId w:val="18"/>
        </w:numPr>
        <w:spacing w:before="120" w:beforeLines="50" w:after="120" w:afterLines="50" w:line="440" w:lineRule="exact"/>
        <w:outlineLvl w:val="2"/>
        <w:rPr>
          <w:b/>
          <w:sz w:val="24"/>
        </w:rPr>
      </w:pPr>
      <w:bookmarkStart w:id="173" w:name="_Toc170229662"/>
      <w:bookmarkStart w:id="174" w:name="_Toc10124659"/>
      <w:bookmarkStart w:id="175" w:name="_Toc521850240"/>
      <w:bookmarkStart w:id="176" w:name="_Toc317604635"/>
      <w:r>
        <w:rPr>
          <w:rFonts w:hint="eastAsia"/>
          <w:b/>
          <w:sz w:val="24"/>
        </w:rPr>
        <w:t>中标公告及中标通知书</w:t>
      </w:r>
      <w:bookmarkEnd w:id="173"/>
      <w:bookmarkEnd w:id="174"/>
      <w:bookmarkEnd w:id="175"/>
      <w:bookmarkEnd w:id="176"/>
    </w:p>
    <w:p>
      <w:pPr>
        <w:numPr>
          <w:ilvl w:val="1"/>
          <w:numId w:val="18"/>
        </w:numPr>
        <w:spacing w:line="440" w:lineRule="exact"/>
        <w:rPr>
          <w:sz w:val="24"/>
        </w:rPr>
      </w:pPr>
      <w:bookmarkStart w:id="177" w:name="_Toc319915899"/>
      <w:bookmarkStart w:id="178" w:name="_Toc317604636"/>
      <w:r>
        <w:rPr>
          <w:rFonts w:hint="eastAsia"/>
          <w:sz w:val="24"/>
        </w:rPr>
        <w:t>为体现“公开、公平、公正”的原则，项目评标结束后，将在《中国政府采购网（</w:t>
      </w:r>
      <w:r>
        <w:rPr>
          <w:sz w:val="24"/>
        </w:rPr>
        <w:t>http://www.ccgp.gov.cn/</w:t>
      </w:r>
      <w:r>
        <w:rPr>
          <w:rFonts w:hint="eastAsia"/>
          <w:sz w:val="24"/>
        </w:rPr>
        <w:t>）》《元博网采购与招标网（</w:t>
      </w:r>
      <w:r>
        <w:rPr>
          <w:sz w:val="24"/>
        </w:rPr>
        <w:t>https://www.chinabidding.cn/</w:t>
      </w:r>
      <w:r>
        <w:rPr>
          <w:rFonts w:hint="eastAsia"/>
          <w:sz w:val="24"/>
        </w:rPr>
        <w:t>）》《广东中元招标网（http://www.zhongyuanzb.com/）》进行中标结果公示。投标人如对评标结果有异议，应于法律法规规定的期间以书面形式提出。若在法律法规规定期内未提出异议，则视为无异议或放弃异议权。</w:t>
      </w:r>
    </w:p>
    <w:p>
      <w:pPr>
        <w:numPr>
          <w:ilvl w:val="1"/>
          <w:numId w:val="18"/>
        </w:numPr>
        <w:spacing w:line="440" w:lineRule="exact"/>
        <w:rPr>
          <w:sz w:val="24"/>
        </w:rPr>
      </w:pPr>
      <w:r>
        <w:rPr>
          <w:rFonts w:hint="eastAsia"/>
          <w:sz w:val="24"/>
        </w:rPr>
        <w:t>提出质疑的投标人应保证提出质疑内容及相应证明材料的真实性及来源的合法性，并承担相应的法律责任。提供虚假情况恶意质疑投诉，情节严重的，将可能导致暂停或取消其投标资格。</w:t>
      </w:r>
    </w:p>
    <w:p>
      <w:pPr>
        <w:numPr>
          <w:ilvl w:val="1"/>
          <w:numId w:val="18"/>
        </w:numPr>
        <w:spacing w:line="440" w:lineRule="exact"/>
        <w:rPr>
          <w:sz w:val="24"/>
        </w:rPr>
      </w:pPr>
      <w:r>
        <w:rPr>
          <w:rFonts w:hint="eastAsia"/>
          <w:sz w:val="24"/>
        </w:rPr>
        <w:t>在中标结果公示后五个工作日内及领取《中标通知书》前，中标人须提供营业执照（“三证合一”或“五证合一”的营业执照则无需提供《税务登记证》）、税务登记证以及在投标文件中提供的资质证明文件、合同等主要证明文件的原件进行核对。如授权其分支机构进行项目实施或提供售后服务的，亦应提供其与分支机构关系的法律证明材料。</w:t>
      </w:r>
    </w:p>
    <w:p>
      <w:pPr>
        <w:numPr>
          <w:ilvl w:val="1"/>
          <w:numId w:val="18"/>
        </w:numPr>
        <w:spacing w:line="440" w:lineRule="exact"/>
        <w:rPr>
          <w:sz w:val="24"/>
        </w:rPr>
      </w:pPr>
      <w:r>
        <w:rPr>
          <w:rFonts w:hint="eastAsia"/>
          <w:sz w:val="24"/>
        </w:rPr>
        <w:t>《中标通知书》是合同的一个组成部分。中标人需在中标结果公示后15日内按规定提交相关资料及领取中标通知书。</w:t>
      </w:r>
    </w:p>
    <w:p>
      <w:pPr>
        <w:numPr>
          <w:ilvl w:val="0"/>
          <w:numId w:val="18"/>
        </w:numPr>
        <w:spacing w:before="120" w:beforeLines="50" w:after="120" w:afterLines="50" w:line="440" w:lineRule="exact"/>
        <w:outlineLvl w:val="2"/>
        <w:rPr>
          <w:b/>
          <w:sz w:val="24"/>
        </w:rPr>
      </w:pPr>
      <w:bookmarkStart w:id="179" w:name="_Toc170229663"/>
      <w:bookmarkStart w:id="180" w:name="_Toc10124660"/>
      <w:bookmarkStart w:id="181" w:name="_Toc521850241"/>
      <w:r>
        <w:rPr>
          <w:b/>
          <w:sz w:val="24"/>
        </w:rPr>
        <w:t>履约</w:t>
      </w:r>
      <w:r>
        <w:rPr>
          <w:rFonts w:hint="eastAsia"/>
          <w:b/>
          <w:sz w:val="24"/>
        </w:rPr>
        <w:t>保证金</w:t>
      </w:r>
      <w:bookmarkEnd w:id="177"/>
      <w:bookmarkEnd w:id="178"/>
      <w:bookmarkEnd w:id="179"/>
      <w:bookmarkEnd w:id="180"/>
      <w:bookmarkEnd w:id="181"/>
    </w:p>
    <w:p>
      <w:pPr>
        <w:numPr>
          <w:ilvl w:val="1"/>
          <w:numId w:val="18"/>
        </w:numPr>
        <w:tabs>
          <w:tab w:val="clear" w:pos="907"/>
        </w:tabs>
        <w:spacing w:line="440" w:lineRule="exact"/>
        <w:rPr>
          <w:sz w:val="24"/>
        </w:rPr>
      </w:pPr>
      <w:r>
        <w:rPr>
          <w:rFonts w:hint="eastAsia" w:cs="Arial"/>
          <w:sz w:val="24"/>
        </w:rPr>
        <w:t>中标人领取中标通知书后十日内须向</w:t>
      </w:r>
      <w:r>
        <w:rPr>
          <w:rFonts w:hint="eastAsia" w:cs="Arial"/>
          <w:b/>
          <w:sz w:val="24"/>
        </w:rPr>
        <w:t>采购人单位</w:t>
      </w:r>
      <w:r>
        <w:rPr>
          <w:rFonts w:hint="eastAsia" w:cs="Arial"/>
          <w:sz w:val="24"/>
        </w:rPr>
        <w:t>提交履约保证金</w:t>
      </w:r>
      <w:r>
        <w:rPr>
          <w:rFonts w:hint="eastAsia"/>
          <w:sz w:val="24"/>
        </w:rPr>
        <w:t>（如提交履约保函的，时间延至合同签订之前），履约保证金金额：</w:t>
      </w:r>
      <w:r>
        <w:rPr>
          <w:rFonts w:hint="eastAsia"/>
          <w:b/>
          <w:i/>
          <w:sz w:val="24"/>
          <w:u w:val="single"/>
        </w:rPr>
        <w:t>详见投标人须知前附表</w:t>
      </w:r>
      <w:r>
        <w:rPr>
          <w:rFonts w:hint="eastAsia"/>
          <w:sz w:val="24"/>
        </w:rPr>
        <w:t>，否则采购人可拒签采购合同，并没收其投标保证金。给采购人造成的损失超过投标担保数额的，还应当由其对超过部分予以赔偿，并依法追究其责任。中标人应在汇入履约保证金时在汇款单备注中注明：中标通知书编号。</w:t>
      </w:r>
    </w:p>
    <w:p>
      <w:pPr>
        <w:numPr>
          <w:ilvl w:val="1"/>
          <w:numId w:val="18"/>
        </w:numPr>
        <w:spacing w:line="440" w:lineRule="exact"/>
        <w:rPr>
          <w:sz w:val="24"/>
        </w:rPr>
      </w:pPr>
      <w:r>
        <w:rPr>
          <w:rFonts w:hint="eastAsia" w:cs="Arial"/>
          <w:sz w:val="24"/>
        </w:rPr>
        <w:t>履约保证金可以采用下列任何一种形式</w:t>
      </w:r>
      <w:r>
        <w:rPr>
          <w:rFonts w:hint="eastAsia"/>
          <w:sz w:val="24"/>
        </w:rPr>
        <w:t>：</w:t>
      </w:r>
    </w:p>
    <w:p>
      <w:pPr>
        <w:tabs>
          <w:tab w:val="left" w:pos="900"/>
        </w:tabs>
        <w:spacing w:line="440" w:lineRule="exact"/>
        <w:ind w:left="899" w:leftChars="428"/>
        <w:rPr>
          <w:sz w:val="24"/>
        </w:rPr>
      </w:pPr>
      <w:r>
        <w:rPr>
          <w:rFonts w:hint="eastAsia"/>
          <w:sz w:val="24"/>
        </w:rPr>
        <w:t>1、履约保函：</w:t>
      </w:r>
    </w:p>
    <w:p>
      <w:pPr>
        <w:tabs>
          <w:tab w:val="left" w:pos="900"/>
        </w:tabs>
        <w:spacing w:line="440" w:lineRule="exact"/>
        <w:ind w:left="899" w:leftChars="428"/>
        <w:rPr>
          <w:sz w:val="24"/>
        </w:rPr>
      </w:pPr>
      <w:r>
        <w:rPr>
          <w:rFonts w:hint="eastAsia"/>
          <w:sz w:val="24"/>
        </w:rPr>
        <w:t>1）履约保函应是合法经营的银行机构出具的银行保函，非东莞市范围内银行出具的履约保函必须附上当地公证部门出具的公证文件。履约保函的内容，应符合招标文件、投标响应文件和采购合同的要求。履约保函应在采购合同有效期满后28天内继续有效。</w:t>
      </w:r>
    </w:p>
    <w:p>
      <w:pPr>
        <w:tabs>
          <w:tab w:val="left" w:pos="900"/>
        </w:tabs>
        <w:spacing w:line="440" w:lineRule="exact"/>
        <w:ind w:left="899" w:leftChars="428"/>
        <w:rPr>
          <w:sz w:val="24"/>
        </w:rPr>
      </w:pPr>
      <w:r>
        <w:rPr>
          <w:rFonts w:hint="eastAsia"/>
          <w:sz w:val="24"/>
        </w:rPr>
        <w:t>2）政府采购信用担保：为进一步发挥政府采购政策功能作用，支持和促进中小企业发展，有效缓解企业资金短缺压力，投标人可以以履约担保函的形式交纳履约保证金，或按照《中华人民共和国政府采购法》及其实施条例的有关规定，投标人可以以履约担保函</w:t>
      </w:r>
      <w:r>
        <w:rPr>
          <w:rFonts w:hint="eastAsia"/>
          <w:b/>
          <w:i/>
          <w:sz w:val="24"/>
          <w:u w:val="single"/>
        </w:rPr>
        <w:t>（格式详见附件）</w:t>
      </w:r>
      <w:r>
        <w:rPr>
          <w:rFonts w:hint="eastAsia"/>
          <w:sz w:val="24"/>
        </w:rPr>
        <w:t>的形式交纳履约保证金。</w:t>
      </w:r>
    </w:p>
    <w:p>
      <w:pPr>
        <w:tabs>
          <w:tab w:val="left" w:pos="900"/>
        </w:tabs>
        <w:spacing w:line="440" w:lineRule="exact"/>
        <w:ind w:left="899" w:leftChars="428"/>
        <w:rPr>
          <w:sz w:val="24"/>
        </w:rPr>
      </w:pPr>
      <w:r>
        <w:rPr>
          <w:rFonts w:hint="eastAsia"/>
          <w:sz w:val="24"/>
        </w:rPr>
        <w:t>2、电汇、银行汇票、支票方式等银行转账方式（不接受现金方式）。</w:t>
      </w:r>
    </w:p>
    <w:p>
      <w:pPr>
        <w:numPr>
          <w:ilvl w:val="1"/>
          <w:numId w:val="18"/>
        </w:numPr>
        <w:spacing w:line="440" w:lineRule="exact"/>
        <w:rPr>
          <w:rFonts w:cs="Arial"/>
          <w:sz w:val="24"/>
        </w:rPr>
      </w:pPr>
      <w:r>
        <w:rPr>
          <w:rFonts w:hint="eastAsia" w:cs="Arial"/>
          <w:sz w:val="24"/>
        </w:rPr>
        <w:t>履约保证金的退还条件：</w:t>
      </w:r>
    </w:p>
    <w:p>
      <w:pPr>
        <w:tabs>
          <w:tab w:val="left" w:pos="900"/>
        </w:tabs>
        <w:spacing w:line="440" w:lineRule="exact"/>
        <w:ind w:left="899" w:leftChars="428"/>
        <w:rPr>
          <w:rFonts w:cs="Arial"/>
          <w:sz w:val="24"/>
        </w:rPr>
      </w:pPr>
      <w:r>
        <w:rPr>
          <w:rFonts w:cs="Arial"/>
          <w:sz w:val="24"/>
        </w:rPr>
        <w:t>中标人在依法履行完毕采购合同后，中标</w:t>
      </w:r>
      <w:r>
        <w:rPr>
          <w:rFonts w:hint="eastAsia" w:cs="Arial"/>
          <w:sz w:val="24"/>
        </w:rPr>
        <w:t>人</w:t>
      </w:r>
      <w:r>
        <w:rPr>
          <w:rFonts w:cs="Arial"/>
          <w:sz w:val="24"/>
        </w:rPr>
        <w:t>可向采购人提交退回履约保证金申请，采购人收到中标</w:t>
      </w:r>
      <w:r>
        <w:rPr>
          <w:rFonts w:hint="eastAsia" w:cs="Arial"/>
          <w:sz w:val="24"/>
        </w:rPr>
        <w:t>人</w:t>
      </w:r>
      <w:r>
        <w:rPr>
          <w:rFonts w:cs="Arial"/>
          <w:sz w:val="24"/>
        </w:rPr>
        <w:t>的退回履约保证金申请后，</w:t>
      </w:r>
      <w:r>
        <w:rPr>
          <w:rFonts w:hint="eastAsia" w:cs="Arial"/>
          <w:sz w:val="24"/>
        </w:rPr>
        <w:t>15</w:t>
      </w:r>
      <w:r>
        <w:rPr>
          <w:rFonts w:cs="Arial"/>
          <w:sz w:val="24"/>
        </w:rPr>
        <w:t>个工作日内办理履约保证金退回手续</w:t>
      </w:r>
      <w:r>
        <w:rPr>
          <w:rFonts w:hint="eastAsia" w:cs="Arial"/>
          <w:sz w:val="24"/>
        </w:rPr>
        <w:t>。</w:t>
      </w:r>
    </w:p>
    <w:p>
      <w:pPr>
        <w:numPr>
          <w:ilvl w:val="1"/>
          <w:numId w:val="18"/>
        </w:numPr>
        <w:spacing w:line="440" w:lineRule="exact"/>
        <w:rPr>
          <w:rFonts w:cs="Arial"/>
          <w:sz w:val="24"/>
        </w:rPr>
      </w:pPr>
      <w:r>
        <w:rPr>
          <w:rFonts w:cs="Arial"/>
          <w:sz w:val="24"/>
        </w:rPr>
        <w:t>下列任何情况发生时，</w:t>
      </w:r>
      <w:r>
        <w:rPr>
          <w:rFonts w:hint="eastAsia" w:cs="Arial"/>
          <w:sz w:val="24"/>
        </w:rPr>
        <w:t>履约</w:t>
      </w:r>
      <w:r>
        <w:rPr>
          <w:rFonts w:cs="Arial"/>
          <w:sz w:val="24"/>
        </w:rPr>
        <w:t>保证金将被没收：</w:t>
      </w:r>
    </w:p>
    <w:p>
      <w:pPr>
        <w:spacing w:line="440" w:lineRule="exact"/>
        <w:ind w:left="899" w:leftChars="428"/>
        <w:rPr>
          <w:rFonts w:cs="Arial"/>
          <w:sz w:val="24"/>
        </w:rPr>
      </w:pPr>
      <w:r>
        <w:rPr>
          <w:rFonts w:hint="eastAsia"/>
          <w:sz w:val="24"/>
        </w:rPr>
        <w:t>①</w:t>
      </w:r>
      <w:r>
        <w:rPr>
          <w:rFonts w:hint="eastAsia" w:cs="Arial"/>
          <w:sz w:val="24"/>
        </w:rPr>
        <w:t>中标人将本项目转让给他人，或者在投标文件中未说明，且未经采购人同意，将中标项目分包给他人的。</w:t>
      </w:r>
    </w:p>
    <w:p>
      <w:pPr>
        <w:tabs>
          <w:tab w:val="left" w:pos="900"/>
        </w:tabs>
        <w:spacing w:line="440" w:lineRule="exact"/>
        <w:ind w:left="899" w:leftChars="428"/>
        <w:rPr>
          <w:rFonts w:cs="Arial"/>
          <w:sz w:val="24"/>
        </w:rPr>
      </w:pPr>
      <w:r>
        <w:rPr>
          <w:rFonts w:hint="eastAsia"/>
          <w:sz w:val="24"/>
        </w:rPr>
        <w:t>②</w:t>
      </w:r>
      <w:r>
        <w:rPr>
          <w:rFonts w:hint="eastAsia" w:cs="Arial"/>
          <w:sz w:val="24"/>
        </w:rPr>
        <w:t>中标人在履行采购合同期间，违反有关法律法规的规定及合同约定的条款，损害了采购人的利益。</w:t>
      </w:r>
    </w:p>
    <w:p>
      <w:pPr>
        <w:numPr>
          <w:ilvl w:val="1"/>
          <w:numId w:val="18"/>
        </w:numPr>
        <w:spacing w:line="440" w:lineRule="exact"/>
        <w:rPr>
          <w:sz w:val="24"/>
        </w:rPr>
      </w:pPr>
      <w:r>
        <w:rPr>
          <w:rFonts w:hint="eastAsia"/>
          <w:sz w:val="24"/>
        </w:rPr>
        <w:t>如果中标人没有按照上述规定执行，采购人可以按照评审报告推荐的中标候选人名单排序，确定下一候选人为中标供应商，也可以重新开展采购活动。</w:t>
      </w:r>
    </w:p>
    <w:p>
      <w:pPr>
        <w:numPr>
          <w:ilvl w:val="0"/>
          <w:numId w:val="18"/>
        </w:numPr>
        <w:spacing w:before="120" w:beforeLines="50" w:after="120" w:afterLines="50" w:line="440" w:lineRule="exact"/>
        <w:outlineLvl w:val="2"/>
        <w:rPr>
          <w:b/>
          <w:sz w:val="24"/>
        </w:rPr>
      </w:pPr>
      <w:bookmarkStart w:id="182" w:name="_Toc170229664"/>
      <w:bookmarkStart w:id="183" w:name="_Toc521850242"/>
      <w:bookmarkStart w:id="184" w:name="_Toc10124661"/>
      <w:r>
        <w:rPr>
          <w:rFonts w:hint="eastAsia"/>
          <w:b/>
          <w:sz w:val="24"/>
        </w:rPr>
        <w:t>签订合同</w:t>
      </w:r>
      <w:bookmarkEnd w:id="182"/>
      <w:bookmarkEnd w:id="183"/>
      <w:bookmarkEnd w:id="184"/>
    </w:p>
    <w:p>
      <w:pPr>
        <w:numPr>
          <w:ilvl w:val="1"/>
          <w:numId w:val="18"/>
        </w:numPr>
        <w:spacing w:line="440" w:lineRule="exact"/>
        <w:rPr>
          <w:sz w:val="24"/>
        </w:rPr>
      </w:pPr>
      <w:r>
        <w:rPr>
          <w:rFonts w:hint="eastAsia"/>
          <w:sz w:val="24"/>
        </w:rPr>
        <w:t>采购人及中标人应当自中标通知书发出之日起30日内，按照招标文件和中标人投标文件的规定签订书面合同。</w:t>
      </w:r>
    </w:p>
    <w:p>
      <w:pPr>
        <w:numPr>
          <w:ilvl w:val="1"/>
          <w:numId w:val="18"/>
        </w:numPr>
        <w:spacing w:line="440" w:lineRule="exact"/>
        <w:rPr>
          <w:sz w:val="24"/>
        </w:rPr>
      </w:pPr>
      <w:r>
        <w:rPr>
          <w:rFonts w:hint="eastAsia"/>
          <w:sz w:val="24"/>
        </w:rPr>
        <w:t>招标文件及补充招标文件、投标时投标人的承诺条件是合同文件的当然组成部分，如中标人未能遵守，或者未在规定的期限内与采购人签订合同，或者在签订合同时坚持提出附加条件和不合理要求，将视为中标人拒绝与采购人签订合同。</w:t>
      </w:r>
    </w:p>
    <w:p>
      <w:pPr>
        <w:numPr>
          <w:ilvl w:val="1"/>
          <w:numId w:val="18"/>
        </w:numPr>
        <w:spacing w:line="440" w:lineRule="exact"/>
        <w:rPr>
          <w:sz w:val="24"/>
        </w:rPr>
      </w:pPr>
      <w:r>
        <w:rPr>
          <w:rFonts w:hint="eastAsia"/>
          <w:sz w:val="24"/>
        </w:rPr>
        <w:t>签订合同协议书时，签约双方均应出示法定代表人证明书或法定代表人授权委托书。</w:t>
      </w:r>
    </w:p>
    <w:p>
      <w:pPr>
        <w:numPr>
          <w:ilvl w:val="1"/>
          <w:numId w:val="18"/>
        </w:numPr>
        <w:spacing w:line="440" w:lineRule="exact"/>
        <w:rPr>
          <w:sz w:val="24"/>
        </w:rPr>
      </w:pPr>
      <w:r>
        <w:rPr>
          <w:rFonts w:hint="eastAsia"/>
          <w:sz w:val="24"/>
        </w:rPr>
        <w:t>合同协议书经双方法定代表人或其授权委托人签署并加盖公章后生效。</w:t>
      </w:r>
    </w:p>
    <w:p>
      <w:pPr>
        <w:numPr>
          <w:ilvl w:val="1"/>
          <w:numId w:val="18"/>
        </w:numPr>
        <w:spacing w:line="440" w:lineRule="exact"/>
        <w:rPr>
          <w:sz w:val="24"/>
        </w:rPr>
      </w:pPr>
      <w:r>
        <w:rPr>
          <w:rFonts w:hint="eastAsia"/>
          <w:sz w:val="24"/>
        </w:rPr>
        <w:t>合同的组成基于本招标文件的以下部分以及投标文件的相应的部分：</w:t>
      </w:r>
    </w:p>
    <w:p>
      <w:pPr>
        <w:numPr>
          <w:ilvl w:val="0"/>
          <w:numId w:val="19"/>
        </w:numPr>
        <w:spacing w:line="440" w:lineRule="exact"/>
        <w:rPr>
          <w:sz w:val="24"/>
        </w:rPr>
      </w:pPr>
      <w:r>
        <w:rPr>
          <w:rFonts w:hint="eastAsia"/>
          <w:sz w:val="24"/>
        </w:rPr>
        <w:t>合同</w:t>
      </w:r>
    </w:p>
    <w:p>
      <w:pPr>
        <w:numPr>
          <w:ilvl w:val="0"/>
          <w:numId w:val="19"/>
        </w:numPr>
        <w:spacing w:line="440" w:lineRule="exact"/>
        <w:rPr>
          <w:sz w:val="24"/>
        </w:rPr>
      </w:pPr>
      <w:r>
        <w:rPr>
          <w:rFonts w:hint="eastAsia"/>
          <w:sz w:val="24"/>
        </w:rPr>
        <w:t>招标文件及投标文件</w:t>
      </w:r>
    </w:p>
    <w:p>
      <w:pPr>
        <w:numPr>
          <w:ilvl w:val="0"/>
          <w:numId w:val="19"/>
        </w:numPr>
        <w:spacing w:line="440" w:lineRule="exact"/>
        <w:rPr>
          <w:sz w:val="24"/>
        </w:rPr>
      </w:pPr>
      <w:r>
        <w:rPr>
          <w:rFonts w:hint="eastAsia"/>
          <w:sz w:val="24"/>
        </w:rPr>
        <w:t>招标文件及投标文件的澄清文件（如有）</w:t>
      </w:r>
    </w:p>
    <w:p>
      <w:pPr>
        <w:numPr>
          <w:ilvl w:val="0"/>
          <w:numId w:val="19"/>
        </w:numPr>
        <w:spacing w:line="440" w:lineRule="exact"/>
        <w:rPr>
          <w:sz w:val="24"/>
        </w:rPr>
      </w:pPr>
      <w:r>
        <w:rPr>
          <w:rFonts w:hint="eastAsia"/>
          <w:sz w:val="24"/>
        </w:rPr>
        <w:t>中标通知书</w:t>
      </w:r>
    </w:p>
    <w:p>
      <w:pPr>
        <w:numPr>
          <w:ilvl w:val="1"/>
          <w:numId w:val="18"/>
        </w:numPr>
        <w:spacing w:line="440" w:lineRule="exact"/>
        <w:rPr>
          <w:sz w:val="24"/>
        </w:rPr>
      </w:pPr>
      <w:r>
        <w:rPr>
          <w:rFonts w:hint="eastAsia"/>
          <w:sz w:val="24"/>
        </w:rPr>
        <w:t>招标文件、中标人的投标文件及其澄清文件等，均为签订合同的依据。</w:t>
      </w:r>
    </w:p>
    <w:p>
      <w:pPr>
        <w:numPr>
          <w:ilvl w:val="0"/>
          <w:numId w:val="18"/>
        </w:numPr>
        <w:spacing w:before="120" w:beforeLines="50" w:after="120" w:afterLines="50" w:line="440" w:lineRule="exact"/>
        <w:outlineLvl w:val="2"/>
        <w:rPr>
          <w:b/>
          <w:sz w:val="24"/>
        </w:rPr>
      </w:pPr>
      <w:bookmarkStart w:id="185" w:name="_Toc14746851"/>
      <w:bookmarkStart w:id="186" w:name="_Toc170229665"/>
      <w:bookmarkStart w:id="187" w:name="_Toc10124662"/>
      <w:bookmarkStart w:id="188" w:name="_Toc161739960"/>
      <w:bookmarkStart w:id="189" w:name="_Toc314064489"/>
      <w:bookmarkStart w:id="190" w:name="_Toc521850243"/>
      <w:r>
        <w:rPr>
          <w:rFonts w:hint="eastAsia"/>
          <w:b/>
          <w:sz w:val="24"/>
        </w:rPr>
        <w:t>中标服务费</w:t>
      </w:r>
      <w:bookmarkEnd w:id="185"/>
      <w:bookmarkEnd w:id="186"/>
      <w:bookmarkEnd w:id="187"/>
      <w:bookmarkEnd w:id="188"/>
      <w:bookmarkEnd w:id="189"/>
      <w:bookmarkEnd w:id="190"/>
    </w:p>
    <w:p>
      <w:pPr>
        <w:numPr>
          <w:ilvl w:val="1"/>
          <w:numId w:val="18"/>
        </w:numPr>
        <w:spacing w:line="440" w:lineRule="exact"/>
        <w:rPr>
          <w:sz w:val="24"/>
        </w:rPr>
      </w:pPr>
      <w:r>
        <w:rPr>
          <w:rFonts w:hint="eastAsia"/>
          <w:sz w:val="24"/>
        </w:rPr>
        <w:t>中标人须向采购代理机构按</w:t>
      </w:r>
      <w:r>
        <w:rPr>
          <w:rFonts w:hint="eastAsia"/>
          <w:b/>
          <w:i/>
          <w:sz w:val="24"/>
          <w:u w:val="single"/>
        </w:rPr>
        <w:t>投标人须知前附表</w:t>
      </w:r>
      <w:r>
        <w:rPr>
          <w:rFonts w:hint="eastAsia"/>
          <w:sz w:val="24"/>
        </w:rPr>
        <w:t>中的标准和规定交纳中标服务费。</w:t>
      </w:r>
    </w:p>
    <w:p>
      <w:pPr>
        <w:numPr>
          <w:ilvl w:val="1"/>
          <w:numId w:val="18"/>
        </w:numPr>
        <w:spacing w:line="440" w:lineRule="exact"/>
        <w:rPr>
          <w:sz w:val="24"/>
        </w:rPr>
      </w:pPr>
      <w:r>
        <w:rPr>
          <w:rFonts w:hint="eastAsia"/>
          <w:sz w:val="24"/>
        </w:rPr>
        <w:t>服务费的货币为人民币。</w:t>
      </w:r>
    </w:p>
    <w:p>
      <w:pPr>
        <w:numPr>
          <w:ilvl w:val="1"/>
          <w:numId w:val="18"/>
        </w:numPr>
        <w:spacing w:line="440" w:lineRule="exact"/>
        <w:rPr>
          <w:sz w:val="24"/>
        </w:rPr>
      </w:pPr>
      <w:r>
        <w:rPr>
          <w:rFonts w:hint="eastAsia"/>
          <w:sz w:val="24"/>
        </w:rPr>
        <w:t>服务费应包含在投标报价中，不在报价中单列。</w:t>
      </w:r>
    </w:p>
    <w:p>
      <w:pPr>
        <w:numPr>
          <w:ilvl w:val="1"/>
          <w:numId w:val="18"/>
        </w:numPr>
        <w:spacing w:line="440" w:lineRule="exact"/>
        <w:rPr>
          <w:sz w:val="24"/>
        </w:rPr>
      </w:pPr>
      <w:r>
        <w:rPr>
          <w:rFonts w:hint="eastAsia"/>
          <w:sz w:val="24"/>
        </w:rPr>
        <w:t>服务费以转账或现金的形式支付。</w:t>
      </w:r>
    </w:p>
    <w:p>
      <w:pPr>
        <w:numPr>
          <w:ilvl w:val="0"/>
          <w:numId w:val="18"/>
        </w:numPr>
        <w:spacing w:before="120" w:beforeLines="50" w:after="120" w:afterLines="50" w:line="440" w:lineRule="exact"/>
        <w:outlineLvl w:val="2"/>
        <w:rPr>
          <w:b/>
          <w:sz w:val="24"/>
        </w:rPr>
      </w:pPr>
      <w:bookmarkStart w:id="191" w:name="_Toc10124663"/>
      <w:bookmarkStart w:id="192" w:name="_Toc521850244"/>
      <w:bookmarkStart w:id="193" w:name="_Toc317604639"/>
      <w:bookmarkStart w:id="194" w:name="_Toc170229666"/>
      <w:r>
        <w:rPr>
          <w:rFonts w:hint="eastAsia"/>
          <w:b/>
          <w:sz w:val="24"/>
        </w:rPr>
        <w:t>其他</w:t>
      </w:r>
      <w:bookmarkEnd w:id="191"/>
      <w:bookmarkEnd w:id="192"/>
      <w:bookmarkEnd w:id="193"/>
      <w:bookmarkEnd w:id="194"/>
    </w:p>
    <w:p>
      <w:pPr>
        <w:numPr>
          <w:ilvl w:val="1"/>
          <w:numId w:val="18"/>
        </w:numPr>
        <w:spacing w:line="440" w:lineRule="exact"/>
        <w:rPr>
          <w:sz w:val="24"/>
        </w:rPr>
      </w:pPr>
      <w:r>
        <w:rPr>
          <w:rFonts w:hint="eastAsia"/>
          <w:sz w:val="24"/>
        </w:rPr>
        <w:t>如投标人提供虚假材料谋取中标的，或者采取不正当手段诋毁、排挤其他投标人的，以及与其他的投标人恶意串通的，将严肃处理，并保留追究其责任的权利。</w:t>
      </w:r>
    </w:p>
    <w:p>
      <w:pPr>
        <w:numPr>
          <w:ilvl w:val="0"/>
          <w:numId w:val="18"/>
        </w:numPr>
        <w:spacing w:before="120" w:beforeLines="50" w:after="120" w:afterLines="50" w:line="440" w:lineRule="exact"/>
        <w:outlineLvl w:val="2"/>
        <w:rPr>
          <w:b/>
          <w:sz w:val="24"/>
        </w:rPr>
      </w:pPr>
      <w:bookmarkStart w:id="195" w:name="_Toc317604640"/>
      <w:bookmarkStart w:id="196" w:name="_Toc170229667"/>
      <w:bookmarkStart w:id="197" w:name="_Toc521850245"/>
      <w:bookmarkStart w:id="198" w:name="_Toc10124664"/>
      <w:r>
        <w:rPr>
          <w:rFonts w:hint="eastAsia"/>
          <w:b/>
          <w:sz w:val="24"/>
        </w:rPr>
        <w:t>招标文件的解释权</w:t>
      </w:r>
      <w:bookmarkEnd w:id="195"/>
      <w:bookmarkEnd w:id="196"/>
      <w:bookmarkEnd w:id="197"/>
      <w:bookmarkEnd w:id="198"/>
    </w:p>
    <w:p>
      <w:pPr>
        <w:numPr>
          <w:ilvl w:val="1"/>
          <w:numId w:val="18"/>
        </w:numPr>
        <w:spacing w:line="440" w:lineRule="exact"/>
        <w:rPr>
          <w:sz w:val="24"/>
        </w:rPr>
      </w:pPr>
      <w:r>
        <w:rPr>
          <w:rFonts w:hint="eastAsia"/>
          <w:sz w:val="24"/>
        </w:rPr>
        <w:t>本招标文件的解释权属采购代理机构。</w:t>
      </w:r>
    </w:p>
    <w:p>
      <w:pPr>
        <w:spacing w:line="440" w:lineRule="exact"/>
        <w:jc w:val="center"/>
        <w:rPr>
          <w:rFonts w:eastAsia="黑体"/>
          <w:b/>
          <w:bCs/>
          <w:sz w:val="36"/>
        </w:rPr>
      </w:pPr>
      <w:r>
        <w:rPr>
          <w:sz w:val="24"/>
        </w:rPr>
        <w:br w:type="page"/>
      </w:r>
      <w:bookmarkStart w:id="199" w:name="_Toc316913532"/>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outlineLvl w:val="1"/>
        <w:rPr>
          <w:b/>
          <w:bCs/>
          <w:sz w:val="44"/>
          <w:szCs w:val="44"/>
        </w:rPr>
      </w:pPr>
      <w:bookmarkStart w:id="200" w:name="_Toc170229668"/>
      <w:bookmarkStart w:id="201" w:name="_Toc10124665"/>
      <w:r>
        <w:rPr>
          <w:rFonts w:hint="eastAsia"/>
          <w:b/>
          <w:bCs/>
          <w:sz w:val="44"/>
          <w:szCs w:val="44"/>
        </w:rPr>
        <w:t>第六部分  合同格式</w:t>
      </w:r>
      <w:bookmarkEnd w:id="200"/>
      <w:bookmarkEnd w:id="201"/>
    </w:p>
    <w:p>
      <w:pPr>
        <w:jc w:val="center"/>
      </w:pPr>
    </w:p>
    <w:p>
      <w:pPr>
        <w:spacing w:line="440" w:lineRule="exact"/>
        <w:jc w:val="center"/>
      </w:pPr>
      <w:r>
        <w:rPr>
          <w:sz w:val="24"/>
        </w:rPr>
        <w:br w:type="page"/>
      </w:r>
      <w:bookmarkEnd w:id="199"/>
    </w:p>
    <w:p>
      <w:pPr>
        <w:spacing w:line="440" w:lineRule="exact"/>
        <w:jc w:val="center"/>
        <w:rPr>
          <w:rFonts w:ascii="Time New Roma" w:hAnsi="Time New Roma"/>
          <w:b/>
          <w:bCs/>
          <w:sz w:val="44"/>
          <w:szCs w:val="44"/>
        </w:rPr>
      </w:pPr>
      <w:r>
        <w:rPr>
          <w:rFonts w:hint="eastAsia" w:ascii="Time New Roma" w:hAnsi="Time New Roma"/>
          <w:b/>
          <w:bCs/>
          <w:sz w:val="44"/>
          <w:szCs w:val="44"/>
        </w:rPr>
        <w:t>合同格式</w:t>
      </w:r>
    </w:p>
    <w:p>
      <w:pPr>
        <w:pStyle w:val="2"/>
        <w:ind w:left="0" w:leftChars="0" w:firstLine="0" w:firstLineChars="0"/>
        <w:jc w:val="center"/>
        <w:rPr>
          <w:rFonts w:eastAsia="黑体"/>
          <w:bCs w:val="0"/>
          <w:sz w:val="28"/>
          <w:szCs w:val="24"/>
        </w:rPr>
      </w:pPr>
    </w:p>
    <w:p>
      <w:pPr>
        <w:pStyle w:val="2"/>
        <w:ind w:left="0" w:leftChars="0" w:firstLine="0" w:firstLineChars="0"/>
        <w:jc w:val="center"/>
        <w:rPr>
          <w:rFonts w:asciiTheme="majorEastAsia" w:hAnsiTheme="majorEastAsia" w:eastAsiaTheme="majorEastAsia"/>
          <w:b/>
          <w:bCs w:val="0"/>
          <w:sz w:val="52"/>
          <w:szCs w:val="52"/>
        </w:rPr>
      </w:pPr>
      <w:r>
        <w:rPr>
          <w:rFonts w:hint="eastAsia" w:asciiTheme="majorEastAsia" w:hAnsiTheme="majorEastAsia" w:eastAsiaTheme="majorEastAsia"/>
          <w:b/>
          <w:bCs w:val="0"/>
          <w:sz w:val="52"/>
          <w:szCs w:val="52"/>
        </w:rPr>
        <w:t>东莞市民政局采购项目</w:t>
      </w:r>
    </w:p>
    <w:p>
      <w:pPr>
        <w:pStyle w:val="2"/>
        <w:ind w:left="0" w:leftChars="0" w:firstLine="0" w:firstLineChars="0"/>
        <w:jc w:val="center"/>
        <w:rPr>
          <w:rFonts w:asciiTheme="majorEastAsia" w:hAnsiTheme="majorEastAsia" w:eastAsiaTheme="majorEastAsia"/>
          <w:b/>
          <w:bCs w:val="0"/>
          <w:sz w:val="52"/>
          <w:szCs w:val="52"/>
        </w:rPr>
      </w:pPr>
    </w:p>
    <w:p>
      <w:pPr>
        <w:pStyle w:val="2"/>
        <w:ind w:left="0" w:leftChars="0" w:firstLine="0" w:firstLineChars="0"/>
        <w:jc w:val="center"/>
        <w:rPr>
          <w:rFonts w:asciiTheme="majorEastAsia" w:hAnsiTheme="majorEastAsia" w:eastAsiaTheme="majorEastAsia"/>
          <w:b/>
          <w:bCs w:val="0"/>
          <w:sz w:val="52"/>
          <w:szCs w:val="52"/>
        </w:rPr>
      </w:pPr>
      <w:r>
        <w:rPr>
          <w:rFonts w:hint="eastAsia" w:asciiTheme="majorEastAsia" w:hAnsiTheme="majorEastAsia" w:eastAsiaTheme="majorEastAsia"/>
          <w:b/>
          <w:bCs w:val="0"/>
          <w:sz w:val="52"/>
          <w:szCs w:val="52"/>
        </w:rPr>
        <w:t>合</w:t>
      </w:r>
    </w:p>
    <w:p>
      <w:pPr>
        <w:pStyle w:val="2"/>
        <w:ind w:left="0" w:leftChars="0" w:firstLine="0" w:firstLineChars="0"/>
        <w:jc w:val="center"/>
        <w:rPr>
          <w:rFonts w:asciiTheme="majorEastAsia" w:hAnsiTheme="majorEastAsia" w:eastAsiaTheme="majorEastAsia"/>
          <w:b/>
          <w:bCs w:val="0"/>
          <w:sz w:val="52"/>
          <w:szCs w:val="52"/>
        </w:rPr>
      </w:pPr>
      <w:r>
        <w:rPr>
          <w:rFonts w:hint="eastAsia" w:asciiTheme="majorEastAsia" w:hAnsiTheme="majorEastAsia" w:eastAsiaTheme="majorEastAsia"/>
          <w:b/>
          <w:bCs w:val="0"/>
          <w:sz w:val="52"/>
          <w:szCs w:val="52"/>
        </w:rPr>
        <w:t>同</w:t>
      </w:r>
    </w:p>
    <w:p>
      <w:pPr>
        <w:pStyle w:val="2"/>
        <w:ind w:left="0" w:leftChars="0" w:firstLine="0" w:firstLineChars="0"/>
        <w:jc w:val="center"/>
        <w:rPr>
          <w:rFonts w:asciiTheme="majorEastAsia" w:hAnsiTheme="majorEastAsia" w:eastAsiaTheme="majorEastAsia"/>
          <w:b/>
          <w:bCs w:val="0"/>
          <w:sz w:val="52"/>
          <w:szCs w:val="52"/>
        </w:rPr>
      </w:pPr>
      <w:r>
        <w:rPr>
          <w:rFonts w:hint="eastAsia" w:asciiTheme="majorEastAsia" w:hAnsiTheme="majorEastAsia" w:eastAsiaTheme="majorEastAsia"/>
          <w:b/>
          <w:bCs w:val="0"/>
          <w:sz w:val="52"/>
          <w:szCs w:val="52"/>
        </w:rPr>
        <w:t>书</w:t>
      </w:r>
    </w:p>
    <w:p>
      <w:pPr>
        <w:pStyle w:val="2"/>
        <w:ind w:left="0" w:leftChars="0" w:firstLine="0" w:firstLineChars="0"/>
        <w:jc w:val="center"/>
        <w:rPr>
          <w:rFonts w:asciiTheme="majorEastAsia" w:hAnsiTheme="majorEastAsia" w:eastAsiaTheme="majorEastAsia"/>
          <w:b/>
          <w:bCs w:val="0"/>
          <w:sz w:val="44"/>
          <w:szCs w:val="24"/>
        </w:rPr>
      </w:pPr>
    </w:p>
    <w:p>
      <w:pPr>
        <w:pStyle w:val="2"/>
        <w:ind w:left="0" w:leftChars="0" w:firstLine="0" w:firstLineChars="0"/>
        <w:rPr>
          <w:rFonts w:asciiTheme="minorEastAsia" w:hAnsiTheme="minorEastAsia" w:eastAsiaTheme="minorEastAsia"/>
          <w:b/>
          <w:bCs w:val="0"/>
          <w:sz w:val="28"/>
          <w:szCs w:val="28"/>
          <w:u w:val="single"/>
        </w:rPr>
      </w:pPr>
      <w:r>
        <w:rPr>
          <w:rFonts w:hint="eastAsia" w:asciiTheme="minorEastAsia" w:hAnsiTheme="minorEastAsia" w:eastAsiaTheme="minorEastAsia"/>
          <w:b/>
          <w:bCs w:val="0"/>
          <w:sz w:val="28"/>
          <w:szCs w:val="28"/>
        </w:rPr>
        <w:t>采购项目名称：</w:t>
      </w:r>
      <w:r>
        <w:rPr>
          <w:rFonts w:hint="eastAsia" w:asciiTheme="minorEastAsia" w:hAnsiTheme="minorEastAsia" w:eastAsiaTheme="minorEastAsia"/>
          <w:b/>
          <w:bCs w:val="0"/>
          <w:sz w:val="28"/>
          <w:szCs w:val="28"/>
          <w:u w:val="single"/>
        </w:rPr>
        <w:t xml:space="preserve">   民政资金发放与监管信息平台服务项目    </w:t>
      </w:r>
    </w:p>
    <w:p>
      <w:pPr>
        <w:pStyle w:val="2"/>
        <w:ind w:left="0" w:leftChars="0" w:firstLine="0" w:firstLineChars="0"/>
        <w:rPr>
          <w:rFonts w:asciiTheme="minorEastAsia" w:hAnsiTheme="minorEastAsia" w:eastAsiaTheme="minorEastAsia"/>
          <w:b/>
          <w:bCs w:val="0"/>
          <w:sz w:val="28"/>
          <w:szCs w:val="28"/>
        </w:rPr>
      </w:pPr>
      <w:r>
        <w:rPr>
          <w:rFonts w:hint="eastAsia" w:asciiTheme="minorEastAsia" w:hAnsiTheme="minorEastAsia" w:eastAsiaTheme="minorEastAsia"/>
          <w:b/>
          <w:bCs w:val="0"/>
          <w:sz w:val="28"/>
          <w:szCs w:val="28"/>
        </w:rPr>
        <w:t>采购项目编号：</w:t>
      </w:r>
      <w:r>
        <w:rPr>
          <w:rFonts w:hint="eastAsia" w:asciiTheme="minorEastAsia" w:hAnsiTheme="minorEastAsia" w:eastAsiaTheme="minorEastAsia"/>
          <w:b/>
          <w:bCs w:val="0"/>
          <w:sz w:val="28"/>
          <w:szCs w:val="28"/>
          <w:u w:val="single"/>
        </w:rPr>
        <w:t xml:space="preserve">             </w:t>
      </w:r>
      <w:r>
        <w:rPr>
          <w:rFonts w:asciiTheme="minorEastAsia" w:hAnsiTheme="minorEastAsia" w:eastAsiaTheme="minorEastAsia"/>
          <w:b/>
          <w:bCs w:val="0"/>
          <w:sz w:val="28"/>
          <w:szCs w:val="28"/>
          <w:u w:val="single"/>
        </w:rPr>
        <w:t>ZYDG-24-134</w:t>
      </w:r>
      <w:r>
        <w:rPr>
          <w:rFonts w:hint="eastAsia" w:asciiTheme="minorEastAsia" w:hAnsiTheme="minorEastAsia" w:eastAsiaTheme="minorEastAsia"/>
          <w:b/>
          <w:bCs w:val="0"/>
          <w:sz w:val="28"/>
          <w:szCs w:val="28"/>
          <w:u w:val="single"/>
        </w:rPr>
        <w:t xml:space="preserve">               </w:t>
      </w:r>
    </w:p>
    <w:p>
      <w:pPr>
        <w:pStyle w:val="2"/>
        <w:ind w:left="0" w:leftChars="0" w:firstLine="0" w:firstLineChars="0"/>
        <w:rPr>
          <w:rFonts w:asciiTheme="minorEastAsia" w:hAnsiTheme="minorEastAsia" w:eastAsiaTheme="minorEastAsia"/>
          <w:b/>
          <w:bCs w:val="0"/>
          <w:sz w:val="28"/>
          <w:szCs w:val="28"/>
          <w:u w:val="single"/>
        </w:rPr>
      </w:pPr>
      <w:r>
        <w:rPr>
          <w:rFonts w:hint="eastAsia" w:asciiTheme="minorEastAsia" w:hAnsiTheme="minorEastAsia" w:eastAsiaTheme="minorEastAsia"/>
          <w:b/>
          <w:bCs w:val="0"/>
          <w:sz w:val="28"/>
          <w:szCs w:val="28"/>
        </w:rPr>
        <w:t>采购合同编号：</w:t>
      </w:r>
      <w:r>
        <w:rPr>
          <w:rFonts w:hint="eastAsia" w:asciiTheme="minorEastAsia" w:hAnsiTheme="minorEastAsia" w:eastAsiaTheme="minorEastAsia"/>
          <w:b/>
          <w:bCs w:val="0"/>
          <w:sz w:val="28"/>
          <w:szCs w:val="28"/>
          <w:u w:val="single"/>
        </w:rPr>
        <w:t xml:space="preserve">                                      </w:t>
      </w:r>
    </w:p>
    <w:p>
      <w:pPr>
        <w:pStyle w:val="2"/>
        <w:ind w:left="0" w:leftChars="0" w:firstLine="0" w:firstLineChars="0"/>
        <w:rPr>
          <w:rFonts w:asciiTheme="minorEastAsia" w:hAnsiTheme="minorEastAsia" w:eastAsiaTheme="minorEastAsia"/>
          <w:b/>
          <w:bCs w:val="0"/>
          <w:sz w:val="28"/>
          <w:szCs w:val="28"/>
        </w:rPr>
      </w:pPr>
      <w:r>
        <w:rPr>
          <w:rFonts w:hint="eastAsia" w:asciiTheme="minorEastAsia" w:hAnsiTheme="minorEastAsia" w:eastAsiaTheme="minorEastAsia"/>
          <w:b/>
          <w:bCs w:val="0"/>
          <w:sz w:val="28"/>
          <w:szCs w:val="28"/>
        </w:rPr>
        <w:t>合同金额（人民币）：</w:t>
      </w:r>
      <w:r>
        <w:rPr>
          <w:rFonts w:hint="eastAsia" w:asciiTheme="minorEastAsia" w:hAnsiTheme="minorEastAsia" w:eastAsiaTheme="minorEastAsia"/>
          <w:b/>
          <w:bCs w:val="0"/>
          <w:sz w:val="28"/>
          <w:szCs w:val="28"/>
          <w:u w:val="single"/>
        </w:rPr>
        <w:t xml:space="preserve">            元整（人民币       ）</w:t>
      </w:r>
    </w:p>
    <w:p>
      <w:pPr>
        <w:pStyle w:val="2"/>
        <w:ind w:left="0" w:leftChars="0" w:firstLine="0" w:firstLineChars="0"/>
        <w:rPr>
          <w:rFonts w:asciiTheme="minorEastAsia" w:hAnsiTheme="minorEastAsia" w:eastAsiaTheme="minorEastAsia"/>
          <w:b/>
          <w:bCs w:val="0"/>
          <w:sz w:val="28"/>
          <w:szCs w:val="28"/>
        </w:rPr>
      </w:pPr>
      <w:r>
        <w:rPr>
          <w:rFonts w:hint="eastAsia" w:asciiTheme="minorEastAsia" w:hAnsiTheme="minorEastAsia" w:eastAsiaTheme="minorEastAsia"/>
          <w:b/>
          <w:bCs w:val="0"/>
          <w:sz w:val="28"/>
          <w:szCs w:val="28"/>
        </w:rPr>
        <w:t>采购单位（甲方）：</w:t>
      </w:r>
      <w:r>
        <w:rPr>
          <w:rFonts w:hint="eastAsia" w:asciiTheme="minorEastAsia" w:hAnsiTheme="minorEastAsia" w:eastAsiaTheme="minorEastAsia"/>
          <w:b/>
          <w:bCs w:val="0"/>
          <w:sz w:val="28"/>
          <w:szCs w:val="28"/>
          <w:u w:val="single"/>
        </w:rPr>
        <w:t xml:space="preserve">         东莞市民政局      （盖章）</w:t>
      </w:r>
    </w:p>
    <w:p>
      <w:pPr>
        <w:pStyle w:val="2"/>
        <w:ind w:left="0" w:leftChars="0" w:firstLine="0" w:firstLineChars="0"/>
        <w:rPr>
          <w:rFonts w:asciiTheme="minorEastAsia" w:hAnsiTheme="minorEastAsia" w:eastAsiaTheme="minorEastAsia"/>
          <w:b/>
          <w:bCs w:val="0"/>
          <w:sz w:val="28"/>
          <w:szCs w:val="28"/>
        </w:rPr>
      </w:pPr>
      <w:r>
        <w:rPr>
          <w:rFonts w:hint="eastAsia" w:asciiTheme="minorEastAsia" w:hAnsiTheme="minorEastAsia" w:eastAsiaTheme="minorEastAsia"/>
          <w:b/>
          <w:bCs w:val="0"/>
          <w:sz w:val="28"/>
          <w:szCs w:val="28"/>
        </w:rPr>
        <w:t>中标供应商（乙方）：</w:t>
      </w:r>
      <w:r>
        <w:rPr>
          <w:rFonts w:hint="eastAsia" w:asciiTheme="minorEastAsia" w:hAnsiTheme="minorEastAsia" w:eastAsiaTheme="minorEastAsia"/>
          <w:b/>
          <w:bCs w:val="0"/>
          <w:sz w:val="28"/>
          <w:szCs w:val="28"/>
          <w:u w:val="single"/>
        </w:rPr>
        <w:t xml:space="preserve">                         （盖章）</w:t>
      </w:r>
    </w:p>
    <w:p>
      <w:pPr>
        <w:pStyle w:val="2"/>
        <w:ind w:left="0" w:leftChars="0" w:firstLine="0" w:firstLineChars="0"/>
        <w:rPr>
          <w:rFonts w:asciiTheme="minorEastAsia" w:hAnsiTheme="minorEastAsia" w:eastAsiaTheme="minorEastAsia"/>
          <w:b/>
          <w:bCs w:val="0"/>
          <w:sz w:val="28"/>
          <w:szCs w:val="28"/>
        </w:rPr>
      </w:pPr>
      <w:r>
        <w:rPr>
          <w:rFonts w:hint="eastAsia" w:asciiTheme="minorEastAsia" w:hAnsiTheme="minorEastAsia" w:eastAsiaTheme="minorEastAsia"/>
          <w:b/>
          <w:bCs w:val="0"/>
          <w:sz w:val="28"/>
          <w:szCs w:val="28"/>
        </w:rPr>
        <w:t>采购日期：</w:t>
      </w:r>
      <w:r>
        <w:rPr>
          <w:rFonts w:hint="eastAsia" w:asciiTheme="minorEastAsia" w:hAnsiTheme="minorEastAsia" w:eastAsiaTheme="minorEastAsia"/>
          <w:b/>
          <w:bCs w:val="0"/>
          <w:sz w:val="28"/>
          <w:szCs w:val="28"/>
          <w:u w:val="single"/>
        </w:rPr>
        <w:t xml:space="preserve">           2024年 **月**日                </w:t>
      </w:r>
    </w:p>
    <w:p>
      <w:pPr>
        <w:widowControl/>
        <w:jc w:val="left"/>
        <w:rPr>
          <w:bCs/>
          <w:szCs w:val="21"/>
        </w:rPr>
      </w:pPr>
      <w:r>
        <w:br w:type="page"/>
      </w:r>
    </w:p>
    <w:p>
      <w:pPr>
        <w:pStyle w:val="2"/>
        <w:spacing w:after="0" w:line="440" w:lineRule="exact"/>
        <w:ind w:left="0" w:leftChars="0" w:firstLine="0" w:firstLineChars="0"/>
        <w:jc w:val="left"/>
      </w:pPr>
      <w:r>
        <w:rPr>
          <w:rFonts w:hint="eastAsia"/>
        </w:rPr>
        <w:t>采购人（以下简称甲方）：</w:t>
      </w:r>
    </w:p>
    <w:p>
      <w:pPr>
        <w:pStyle w:val="2"/>
        <w:spacing w:after="0" w:line="440" w:lineRule="exact"/>
        <w:ind w:left="0" w:leftChars="0" w:firstLine="0" w:firstLineChars="0"/>
        <w:jc w:val="left"/>
      </w:pPr>
      <w:r>
        <w:rPr>
          <w:rFonts w:hint="eastAsia"/>
        </w:rPr>
        <w:t>中标人（以下简称乙方）：</w:t>
      </w:r>
    </w:p>
    <w:p>
      <w:pPr>
        <w:pStyle w:val="2"/>
        <w:wordWrap w:val="0"/>
        <w:spacing w:after="0" w:line="440" w:lineRule="exact"/>
        <w:ind w:left="0" w:leftChars="0"/>
        <w:jc w:val="left"/>
      </w:pPr>
      <w:r>
        <w:rPr>
          <w:rFonts w:hint="eastAsia"/>
        </w:rPr>
        <w:t>甲、乙双方根据民政资金发放与监管信息平台服务项目（采购编号：</w:t>
      </w:r>
      <w:r>
        <w:t>ZYDG-24-134</w:t>
      </w:r>
      <w:r>
        <w:rPr>
          <w:rFonts w:hint="eastAsia"/>
        </w:rPr>
        <w:t>）的采购结果，确认</w:t>
      </w:r>
      <w:r>
        <w:rPr>
          <w:rFonts w:hint="eastAsia"/>
          <w:u w:val="single"/>
        </w:rPr>
        <w:t xml:space="preserve">          </w:t>
      </w:r>
      <w:r>
        <w:rPr>
          <w:rFonts w:hint="eastAsia"/>
        </w:rPr>
        <w:t>为该项目的中标供应商，根据《中华人民共和国政府采购法》及其实施条例、《中华人民共和国民法典》，经双方协商一致，达成合同总价款为：</w:t>
      </w:r>
      <w:r>
        <w:rPr>
          <w:rFonts w:hint="eastAsia"/>
          <w:u w:val="single"/>
        </w:rPr>
        <w:t>人民币（大写）      元整￥       元</w:t>
      </w:r>
      <w:r>
        <w:rPr>
          <w:rFonts w:hint="eastAsia"/>
        </w:rPr>
        <w:t>的民政资金发放与监管信息平台服务项目采购合同：</w:t>
      </w:r>
    </w:p>
    <w:p>
      <w:pPr>
        <w:pStyle w:val="2"/>
        <w:spacing w:after="0" w:line="440" w:lineRule="exact"/>
        <w:ind w:left="0" w:leftChars="0" w:firstLine="422"/>
        <w:jc w:val="left"/>
        <w:rPr>
          <w:b/>
        </w:rPr>
      </w:pPr>
      <w:r>
        <w:rPr>
          <w:rFonts w:hint="eastAsia"/>
          <w:b/>
        </w:rPr>
        <w:t>一、签订本采购合同的依据</w:t>
      </w:r>
    </w:p>
    <w:p>
      <w:pPr>
        <w:pStyle w:val="2"/>
        <w:spacing w:after="0" w:line="440" w:lineRule="exact"/>
        <w:ind w:left="0" w:leftChars="0"/>
        <w:jc w:val="left"/>
      </w:pPr>
      <w:r>
        <w:rPr>
          <w:rFonts w:hint="eastAsia"/>
        </w:rPr>
        <w:t>1、下列文件是构成本采购合同不可分割的部分,对双方均具有约束力。</w:t>
      </w:r>
    </w:p>
    <w:p>
      <w:pPr>
        <w:pStyle w:val="2"/>
        <w:spacing w:after="0" w:line="440" w:lineRule="exact"/>
        <w:ind w:left="0" w:leftChars="0"/>
        <w:jc w:val="left"/>
      </w:pPr>
      <w:r>
        <w:rPr>
          <w:rFonts w:hint="eastAsia"/>
        </w:rPr>
        <w:t>①采购文件（民政资金发放与监管信息平台服务项目，采购编号：</w:t>
      </w:r>
      <w:r>
        <w:t>ZYDG-24-134</w:t>
      </w:r>
      <w:r>
        <w:rPr>
          <w:rFonts w:hint="eastAsia"/>
        </w:rPr>
        <w:t>）；②乙方提交的投标文件；③采购文件中规定的政府采购合同通用条款；④中标通知书。</w:t>
      </w:r>
    </w:p>
    <w:p>
      <w:pPr>
        <w:pStyle w:val="2"/>
        <w:spacing w:after="0" w:line="440" w:lineRule="exact"/>
        <w:ind w:left="0" w:leftChars="0"/>
        <w:jc w:val="left"/>
      </w:pPr>
      <w:r>
        <w:rPr>
          <w:rFonts w:hint="eastAsia"/>
        </w:rPr>
        <w:t>2、本采购合同必须包括以下附件:</w:t>
      </w:r>
    </w:p>
    <w:p>
      <w:pPr>
        <w:pStyle w:val="2"/>
        <w:spacing w:after="0" w:line="440" w:lineRule="exact"/>
        <w:ind w:left="0" w:leftChars="0"/>
        <w:jc w:val="left"/>
      </w:pPr>
      <w:r>
        <w:rPr>
          <w:rFonts w:hint="eastAsia"/>
        </w:rPr>
        <w:t>①中标通知书（复印件）；②乙方法定代表人证明书。</w:t>
      </w:r>
    </w:p>
    <w:p>
      <w:pPr>
        <w:pStyle w:val="2"/>
        <w:spacing w:after="0" w:line="440" w:lineRule="exact"/>
        <w:ind w:left="0" w:leftChars="0" w:firstLine="422"/>
        <w:jc w:val="left"/>
        <w:rPr>
          <w:b/>
        </w:rPr>
      </w:pPr>
      <w:r>
        <w:rPr>
          <w:rFonts w:hint="eastAsia"/>
          <w:b/>
        </w:rPr>
        <w:t>二、服务期限、范围及内容</w:t>
      </w:r>
    </w:p>
    <w:p>
      <w:pPr>
        <w:pStyle w:val="2"/>
        <w:spacing w:after="0" w:line="440" w:lineRule="exact"/>
        <w:ind w:left="0" w:leftChars="0"/>
        <w:jc w:val="left"/>
      </w:pPr>
      <w:r>
        <w:rPr>
          <w:rFonts w:hint="eastAsia"/>
        </w:rPr>
        <w:t>合同期限：1年（2024年7月24日至2025年7月23日）。</w:t>
      </w:r>
    </w:p>
    <w:p>
      <w:pPr>
        <w:pStyle w:val="2"/>
        <w:spacing w:after="0" w:line="440" w:lineRule="exact"/>
        <w:ind w:left="0" w:leftChars="0"/>
        <w:jc w:val="left"/>
      </w:pPr>
      <w:r>
        <w:rPr>
          <w:rFonts w:hint="eastAsia"/>
        </w:rPr>
        <w:t>范围及内容：乙方提供民政资金发放与监管信息平台服务，具体服务范围及内容见《附件1：采购需求》。</w:t>
      </w:r>
    </w:p>
    <w:p>
      <w:pPr>
        <w:pStyle w:val="2"/>
        <w:spacing w:after="0" w:line="440" w:lineRule="exact"/>
        <w:ind w:left="0" w:leftChars="0" w:firstLine="422"/>
        <w:jc w:val="left"/>
        <w:rPr>
          <w:b/>
        </w:rPr>
      </w:pPr>
      <w:r>
        <w:rPr>
          <w:rFonts w:hint="eastAsia"/>
          <w:b/>
        </w:rPr>
        <w:t>三、甲方乙方的权利和义务</w:t>
      </w:r>
    </w:p>
    <w:p>
      <w:pPr>
        <w:pStyle w:val="2"/>
        <w:spacing w:after="0" w:line="440" w:lineRule="exact"/>
        <w:ind w:left="0" w:leftChars="0" w:firstLine="422"/>
        <w:jc w:val="left"/>
        <w:rPr>
          <w:b/>
        </w:rPr>
      </w:pPr>
      <w:r>
        <w:rPr>
          <w:rFonts w:hint="eastAsia"/>
          <w:b/>
        </w:rPr>
        <w:t>（一） 甲方的权利和义务</w:t>
      </w:r>
    </w:p>
    <w:p>
      <w:pPr>
        <w:pStyle w:val="2"/>
        <w:spacing w:after="0" w:line="440" w:lineRule="exact"/>
        <w:ind w:left="0" w:leftChars="0"/>
        <w:jc w:val="left"/>
      </w:pPr>
      <w:r>
        <w:rPr>
          <w:rFonts w:hint="eastAsia"/>
        </w:rPr>
        <w:t>1、甲方有义务向乙方提供民政资金发放与监管信息平台相关的信息及资料。</w:t>
      </w:r>
    </w:p>
    <w:p>
      <w:pPr>
        <w:pStyle w:val="2"/>
        <w:spacing w:after="0" w:line="440" w:lineRule="exact"/>
        <w:ind w:left="0" w:leftChars="0"/>
        <w:jc w:val="left"/>
      </w:pPr>
      <w:r>
        <w:rPr>
          <w:rFonts w:hint="eastAsia"/>
        </w:rPr>
        <w:t>2、甲方变更民政资金发放与监管信息平台服务保障项目的需求应及时书面通知乙方，并与乙方协商，确定对交付时间、交付成本等方面的影响，签订补充协议。</w:t>
      </w:r>
    </w:p>
    <w:p>
      <w:pPr>
        <w:pStyle w:val="2"/>
        <w:spacing w:after="0" w:line="440" w:lineRule="exact"/>
        <w:ind w:left="0" w:leftChars="0"/>
        <w:jc w:val="left"/>
      </w:pPr>
      <w:r>
        <w:rPr>
          <w:rFonts w:hint="eastAsia"/>
        </w:rPr>
        <w:t>3、甲方负责本合同业务活动有关的外部协调，并为乙方提供外部条件。</w:t>
      </w:r>
    </w:p>
    <w:p>
      <w:pPr>
        <w:pStyle w:val="2"/>
        <w:spacing w:after="0" w:line="440" w:lineRule="exact"/>
        <w:ind w:left="0" w:leftChars="0"/>
        <w:jc w:val="left"/>
      </w:pPr>
      <w:r>
        <w:rPr>
          <w:rFonts w:hint="eastAsia"/>
        </w:rPr>
        <w:t>4、在双方约定时间内就乙方书面提交并要求决定的事宜作出答复。</w:t>
      </w:r>
    </w:p>
    <w:p>
      <w:pPr>
        <w:pStyle w:val="2"/>
        <w:spacing w:after="0" w:line="440" w:lineRule="exact"/>
        <w:ind w:left="0" w:leftChars="0"/>
        <w:jc w:val="left"/>
      </w:pPr>
      <w:r>
        <w:rPr>
          <w:rFonts w:hint="eastAsia"/>
        </w:rPr>
        <w:t>5、当发生服务违约时，则甲方有权按约定在支付乙方合同款项中进行扣款。</w:t>
      </w:r>
    </w:p>
    <w:p>
      <w:pPr>
        <w:pStyle w:val="2"/>
        <w:spacing w:after="0" w:line="440" w:lineRule="exact"/>
        <w:ind w:left="0" w:leftChars="0" w:firstLine="422"/>
        <w:jc w:val="left"/>
        <w:rPr>
          <w:b/>
        </w:rPr>
      </w:pPr>
      <w:r>
        <w:rPr>
          <w:rFonts w:hint="eastAsia"/>
          <w:b/>
        </w:rPr>
        <w:t>（二） 乙方的权利和义务</w:t>
      </w:r>
    </w:p>
    <w:p>
      <w:pPr>
        <w:pStyle w:val="2"/>
        <w:spacing w:after="0" w:line="440" w:lineRule="exact"/>
        <w:ind w:left="0" w:leftChars="0"/>
        <w:jc w:val="left"/>
      </w:pPr>
      <w:r>
        <w:rPr>
          <w:rFonts w:hint="eastAsia"/>
        </w:rPr>
        <w:t>1、乙方必须自主经营管理，不得分包、转包、变相转包或以他人身份挂靠，如有发现存在上述情况，甲方有权单方面终止合同，乙方必须承担由此产生的法律责任、经济责任及民事责任。</w:t>
      </w:r>
    </w:p>
    <w:p>
      <w:pPr>
        <w:pStyle w:val="2"/>
        <w:spacing w:after="0" w:line="440" w:lineRule="exact"/>
        <w:ind w:left="0" w:leftChars="0"/>
        <w:jc w:val="left"/>
      </w:pPr>
      <w:r>
        <w:rPr>
          <w:rFonts w:hint="eastAsia"/>
        </w:rPr>
        <w:t>2、签订合同后，乙方按照甲方有关要求、合同规定及时组织安排高效、专业的项目服务队伍开展相关服务。</w:t>
      </w:r>
    </w:p>
    <w:p>
      <w:pPr>
        <w:pStyle w:val="2"/>
        <w:spacing w:after="0" w:line="440" w:lineRule="exact"/>
        <w:ind w:left="0" w:leftChars="0"/>
        <w:jc w:val="left"/>
      </w:pPr>
      <w:r>
        <w:rPr>
          <w:rFonts w:hint="eastAsia"/>
        </w:rPr>
        <w:t>3、乙方在本合同范围内，满足甲方对质量与进度的要求。如甲方有明确处理意见，乙方人员应立即解决。</w:t>
      </w:r>
    </w:p>
    <w:p>
      <w:pPr>
        <w:pStyle w:val="2"/>
        <w:spacing w:after="0" w:line="440" w:lineRule="exact"/>
        <w:ind w:left="0" w:leftChars="0"/>
        <w:jc w:val="left"/>
      </w:pPr>
      <w:r>
        <w:rPr>
          <w:rFonts w:hint="eastAsia"/>
        </w:rPr>
        <w:t>4、乙方应承担保密义务。在本合同期内、本合同完成后或本合同终止后，未征得甲方书面同意，不得泄露与本合同业务活动有关的保密资料。</w:t>
      </w:r>
    </w:p>
    <w:p>
      <w:pPr>
        <w:pStyle w:val="2"/>
        <w:spacing w:after="0" w:line="440" w:lineRule="exact"/>
        <w:ind w:left="0" w:leftChars="0"/>
        <w:jc w:val="left"/>
      </w:pPr>
      <w:r>
        <w:rPr>
          <w:rFonts w:hint="eastAsia"/>
        </w:rPr>
        <w:t>5、乙方的月度运营服务评估考核评分低于90分的，乙方应向甲方提供服务整改报告，针对扣分项目提出针对整改措施，并就整改效果汇总给甲方。</w:t>
      </w:r>
    </w:p>
    <w:p>
      <w:pPr>
        <w:pStyle w:val="2"/>
        <w:spacing w:after="0" w:line="440" w:lineRule="exact"/>
        <w:ind w:left="0" w:leftChars="0"/>
        <w:jc w:val="left"/>
      </w:pPr>
      <w:r>
        <w:rPr>
          <w:rFonts w:hint="eastAsia"/>
        </w:rPr>
        <w:t>6、乙方应按照《附件1：采购需求》切实提供相应服务。</w:t>
      </w:r>
    </w:p>
    <w:p>
      <w:pPr>
        <w:pStyle w:val="2"/>
        <w:spacing w:after="0" w:line="440" w:lineRule="exact"/>
        <w:ind w:left="0" w:leftChars="0" w:firstLine="422"/>
        <w:jc w:val="left"/>
        <w:rPr>
          <w:b/>
        </w:rPr>
      </w:pPr>
      <w:r>
        <w:rPr>
          <w:rFonts w:hint="eastAsia"/>
          <w:b/>
        </w:rPr>
        <w:t>四、服务周期</w:t>
      </w:r>
    </w:p>
    <w:p>
      <w:pPr>
        <w:pStyle w:val="2"/>
        <w:spacing w:after="0" w:line="440" w:lineRule="exact"/>
        <w:ind w:left="0" w:leftChars="0"/>
        <w:jc w:val="left"/>
      </w:pPr>
      <w:r>
        <w:rPr>
          <w:rFonts w:hint="eastAsia"/>
        </w:rPr>
        <w:t>乙方服务运营队伍人员在签订合同后随即提供服务。服务周期为一年，自2024年7月24日起至2025年7月23日止。</w:t>
      </w:r>
    </w:p>
    <w:p>
      <w:pPr>
        <w:pStyle w:val="2"/>
        <w:spacing w:after="0" w:line="440" w:lineRule="exact"/>
        <w:ind w:left="0" w:leftChars="0" w:firstLine="422"/>
        <w:jc w:val="left"/>
        <w:rPr>
          <w:b/>
        </w:rPr>
      </w:pPr>
      <w:r>
        <w:rPr>
          <w:rFonts w:hint="eastAsia"/>
          <w:b/>
        </w:rPr>
        <w:t>五、验收</w:t>
      </w:r>
    </w:p>
    <w:p>
      <w:pPr>
        <w:pStyle w:val="2"/>
        <w:spacing w:after="0" w:line="440" w:lineRule="exact"/>
        <w:ind w:left="0" w:leftChars="0"/>
        <w:jc w:val="left"/>
      </w:pPr>
      <w:r>
        <w:rPr>
          <w:rFonts w:hint="eastAsia"/>
        </w:rPr>
        <w:t>1、验收应在双方共同参加下进行，依据招标文件及合同的有关规定制定的方案进行验收，并按国家有关规定、规范进行。</w:t>
      </w:r>
    </w:p>
    <w:p>
      <w:pPr>
        <w:pStyle w:val="2"/>
        <w:spacing w:after="0" w:line="440" w:lineRule="exact"/>
        <w:ind w:left="0" w:leftChars="0"/>
        <w:jc w:val="left"/>
      </w:pPr>
      <w:r>
        <w:rPr>
          <w:rFonts w:hint="eastAsia"/>
        </w:rPr>
        <w:t>2、甲方组织项目验收小组按国家有关规定、规范进行验收，必要时邀请相关专业人员或机构参与验收。</w:t>
      </w:r>
    </w:p>
    <w:p>
      <w:pPr>
        <w:pStyle w:val="2"/>
        <w:spacing w:after="0" w:line="440" w:lineRule="exact"/>
        <w:ind w:left="0" w:leftChars="0"/>
        <w:jc w:val="left"/>
      </w:pPr>
      <w:r>
        <w:rPr>
          <w:rFonts w:hint="eastAsia"/>
        </w:rPr>
        <w:t>3、对验收不合格的部分，乙方应在甲方规定时间内及时整改完善直至合格。</w:t>
      </w:r>
    </w:p>
    <w:p>
      <w:pPr>
        <w:pStyle w:val="2"/>
        <w:spacing w:after="0" w:line="440" w:lineRule="exact"/>
        <w:ind w:left="0" w:leftChars="0"/>
        <w:jc w:val="left"/>
      </w:pPr>
      <w:r>
        <w:rPr>
          <w:rFonts w:hint="eastAsia"/>
        </w:rPr>
        <w:t>4、甲方将依照乙方服务月报告、服务周期总结报告及实际运维数据作为项目验收依据。验收不合格的，甲方有权按10000元收取违约金，并要求乙方在限定期限内重新提交。如乙方二次验收不合格的，甲方有权单方解除合同，并追究乙方的违约责任。</w:t>
      </w:r>
    </w:p>
    <w:p>
      <w:pPr>
        <w:pStyle w:val="2"/>
        <w:spacing w:after="0" w:line="440" w:lineRule="exact"/>
        <w:ind w:left="0" w:leftChars="0" w:firstLine="422"/>
        <w:jc w:val="left"/>
        <w:rPr>
          <w:b/>
        </w:rPr>
      </w:pPr>
      <w:r>
        <w:rPr>
          <w:rFonts w:hint="eastAsia"/>
          <w:b/>
        </w:rPr>
        <w:t>六、付款方式</w:t>
      </w:r>
    </w:p>
    <w:p>
      <w:pPr>
        <w:pStyle w:val="2"/>
        <w:spacing w:after="0" w:line="440" w:lineRule="exact"/>
        <w:ind w:left="0" w:leftChars="0"/>
        <w:jc w:val="left"/>
      </w:pPr>
      <w:r>
        <w:rPr>
          <w:rFonts w:hint="eastAsia"/>
        </w:rPr>
        <w:t>1、采购合同总金额为人民币（大写） 元整 ￥ 元。双方签订合同后支付合同金额的50%费用即人民币（大写）元整 ￥ 元作为项目启动费用；</w:t>
      </w:r>
    </w:p>
    <w:p>
      <w:pPr>
        <w:pStyle w:val="2"/>
        <w:spacing w:after="0" w:line="440" w:lineRule="exact"/>
        <w:ind w:left="0" w:leftChars="0"/>
        <w:jc w:val="left"/>
      </w:pPr>
      <w:r>
        <w:rPr>
          <w:rFonts w:hint="eastAsia"/>
        </w:rPr>
        <w:t>2、服务项目到期后，甲方对服务工作进行验收，验收合格并结算服务期内所有考核扣减金额后支付剩余款项。</w:t>
      </w:r>
    </w:p>
    <w:p>
      <w:pPr>
        <w:pStyle w:val="2"/>
        <w:spacing w:after="0" w:line="440" w:lineRule="exact"/>
        <w:ind w:left="0" w:leftChars="0"/>
        <w:jc w:val="left"/>
      </w:pPr>
      <w:r>
        <w:rPr>
          <w:rFonts w:hint="eastAsia"/>
        </w:rPr>
        <w:t>注：付款前乙方提供等额的合格发票。本合同的经费由市财政预算安排拨款，如因政策影响，拨款未能及时到位，乙方不得以此为由而不履行本合同规定的义务。否则，甲方按规定扣罚。如果乙方怠于或者拒绝提供资料或者办理手续的，则因此产生的付款迟延的责任全部由乙方承担。</w:t>
      </w:r>
    </w:p>
    <w:p>
      <w:pPr>
        <w:pStyle w:val="2"/>
        <w:spacing w:after="0" w:line="440" w:lineRule="exact"/>
        <w:ind w:left="0" w:leftChars="0"/>
        <w:jc w:val="left"/>
      </w:pPr>
      <w:r>
        <w:rPr>
          <w:rFonts w:hint="eastAsia"/>
        </w:rPr>
        <w:t>乙方收款账户信息如下：</w:t>
      </w:r>
    </w:p>
    <w:p>
      <w:pPr>
        <w:pStyle w:val="2"/>
        <w:spacing w:after="0" w:line="440" w:lineRule="exact"/>
        <w:ind w:left="0" w:leftChars="0"/>
        <w:jc w:val="left"/>
      </w:pPr>
      <w:r>
        <w:rPr>
          <w:rFonts w:hint="eastAsia"/>
        </w:rPr>
        <w:t>开户行：</w:t>
      </w:r>
    </w:p>
    <w:p>
      <w:pPr>
        <w:pStyle w:val="2"/>
        <w:spacing w:after="0" w:line="440" w:lineRule="exact"/>
        <w:ind w:left="0" w:leftChars="0"/>
        <w:jc w:val="left"/>
      </w:pPr>
      <w:r>
        <w:rPr>
          <w:rFonts w:hint="eastAsia"/>
        </w:rPr>
        <w:t>开户名：</w:t>
      </w:r>
    </w:p>
    <w:p>
      <w:pPr>
        <w:pStyle w:val="2"/>
        <w:spacing w:after="0" w:line="440" w:lineRule="exact"/>
        <w:ind w:left="0" w:leftChars="0"/>
        <w:jc w:val="left"/>
      </w:pPr>
      <w:r>
        <w:rPr>
          <w:rFonts w:hint="eastAsia"/>
        </w:rPr>
        <w:t>银行账号：</w:t>
      </w:r>
    </w:p>
    <w:p>
      <w:pPr>
        <w:pStyle w:val="2"/>
        <w:spacing w:after="0" w:line="440" w:lineRule="exact"/>
        <w:ind w:left="0" w:leftChars="0" w:firstLine="422"/>
        <w:jc w:val="left"/>
        <w:rPr>
          <w:b/>
        </w:rPr>
      </w:pPr>
      <w:r>
        <w:rPr>
          <w:rFonts w:hint="eastAsia"/>
          <w:b/>
        </w:rPr>
        <w:t>七、知识产权产权归属</w:t>
      </w:r>
    </w:p>
    <w:p>
      <w:pPr>
        <w:pStyle w:val="2"/>
        <w:spacing w:after="0" w:line="440" w:lineRule="exact"/>
        <w:ind w:left="0" w:leftChars="0"/>
        <w:jc w:val="left"/>
      </w:pPr>
      <w:r>
        <w:rPr>
          <w:rFonts w:hint="eastAsia"/>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pStyle w:val="2"/>
        <w:spacing w:after="0" w:line="440" w:lineRule="exact"/>
        <w:ind w:left="0" w:leftChars="0" w:firstLine="422"/>
        <w:jc w:val="left"/>
        <w:rPr>
          <w:b/>
        </w:rPr>
      </w:pPr>
      <w:r>
        <w:rPr>
          <w:rFonts w:hint="eastAsia"/>
          <w:b/>
        </w:rPr>
        <w:t>八、保密</w:t>
      </w:r>
    </w:p>
    <w:p>
      <w:pPr>
        <w:pStyle w:val="2"/>
        <w:spacing w:after="0" w:line="440" w:lineRule="exact"/>
        <w:ind w:left="0" w:leftChars="0"/>
        <w:jc w:val="left"/>
      </w:pPr>
      <w:r>
        <w:rPr>
          <w:rFonts w:hint="eastAsia"/>
        </w:rPr>
        <w:t>1、甲乙双方均确认，乙方对民政资金发放与监管平台所有信息及履行合同过程中知悉的甲方的政策、工资福利、人力资源等其他秘密信息予以保密，除用于履行本合同需要之外，任何时候均不得利用该保密信息。未经甲方书面授权，不得以任何方式向其他组织或个人泄露、转让、许可使用、交换、赠与或与其他组织或个人共同使用或不正当使用。</w:t>
      </w:r>
    </w:p>
    <w:p>
      <w:pPr>
        <w:pStyle w:val="2"/>
        <w:spacing w:after="0" w:line="440" w:lineRule="exact"/>
        <w:ind w:left="0" w:leftChars="0"/>
        <w:jc w:val="left"/>
      </w:pPr>
      <w:r>
        <w:rPr>
          <w:rFonts w:hint="eastAsia"/>
        </w:rPr>
        <w:t>2、乙方应限制接触和使用保密信息的人员，并与能够接触该保密信息的员工签署保密协议或保密条款，保密协议/条款的实质内容应与本保密条款相似。乙方有可能知悉保密信息的人员，未经甲方授权泄露秘密信息的，均视为乙方违约而对甲方承担责任。</w:t>
      </w:r>
    </w:p>
    <w:p>
      <w:pPr>
        <w:pStyle w:val="2"/>
        <w:spacing w:after="0" w:line="440" w:lineRule="exact"/>
        <w:ind w:left="0" w:leftChars="0"/>
        <w:jc w:val="left"/>
      </w:pPr>
      <w:r>
        <w:rPr>
          <w:rFonts w:hint="eastAsia"/>
        </w:rPr>
        <w:t>3、甲、乙双方确认，乙方的保密义务自乙方获知甲方的保密信息时开始，至该保密信息被合法公开时止。</w:t>
      </w:r>
    </w:p>
    <w:p>
      <w:pPr>
        <w:pStyle w:val="2"/>
        <w:spacing w:after="0" w:line="440" w:lineRule="exact"/>
        <w:ind w:left="0" w:leftChars="0" w:firstLine="422"/>
        <w:jc w:val="left"/>
        <w:rPr>
          <w:b/>
        </w:rPr>
      </w:pPr>
      <w:r>
        <w:rPr>
          <w:rFonts w:hint="eastAsia"/>
          <w:b/>
        </w:rPr>
        <w:t>九、违约责任与赔偿损失</w:t>
      </w:r>
    </w:p>
    <w:p>
      <w:pPr>
        <w:pStyle w:val="2"/>
        <w:spacing w:after="0" w:line="440" w:lineRule="exact"/>
        <w:ind w:left="0" w:leftChars="0"/>
        <w:jc w:val="left"/>
      </w:pPr>
      <w:r>
        <w:rPr>
          <w:rFonts w:hint="eastAsia"/>
        </w:rPr>
        <w:t>1、 乙方提供的服务不符合招标文件、投标文件或本合同规定的，甲方有权拒收，并且乙方须向甲方支付本合同服务期总价10%的违约金。</w:t>
      </w:r>
    </w:p>
    <w:p>
      <w:pPr>
        <w:pStyle w:val="2"/>
        <w:spacing w:after="0" w:line="440" w:lineRule="exact"/>
        <w:ind w:left="0" w:leftChars="0"/>
        <w:jc w:val="left"/>
      </w:pPr>
      <w:r>
        <w:rPr>
          <w:rFonts w:hint="eastAsia"/>
        </w:rPr>
        <w:t>2、乙方未能按本合同规定的交货时间提供服务，从逾期之日起每日按本合同总价3‰的数额向甲方支付违约金；逾期半个月以上的，甲方有权终止合同，要求乙方支付本合同价款总额10%作为违约金，由此造成的甲方经济损失由乙方承担。</w:t>
      </w:r>
    </w:p>
    <w:p>
      <w:pPr>
        <w:pStyle w:val="2"/>
        <w:spacing w:after="0" w:line="440" w:lineRule="exact"/>
        <w:ind w:left="0" w:leftChars="0"/>
        <w:jc w:val="left"/>
      </w:pPr>
      <w:r>
        <w:rPr>
          <w:rFonts w:hint="eastAsia"/>
        </w:rPr>
        <w:t>3、甲方无正当理由拒收接受服务，经乙方书面通知合理期限后，甲方仍拒绝接受服务的，甲方向乙方偿付应付未付款项的10%的违约金，并解除合同。甲方无正当理由到期拒付服务款项的，则每日按应付服务款项的3‰向乙方偿付违约金。</w:t>
      </w:r>
    </w:p>
    <w:p>
      <w:pPr>
        <w:pStyle w:val="2"/>
        <w:spacing w:after="0" w:line="440" w:lineRule="exact"/>
        <w:ind w:left="0" w:leftChars="0"/>
        <w:jc w:val="left"/>
      </w:pPr>
      <w:r>
        <w:rPr>
          <w:rFonts w:hint="eastAsia"/>
        </w:rPr>
        <w:t>4、若乙方在管理制度、出勤管理、系统保障、客服保障、业务运营维护、定期报告、服务质量管控等七大项考核内容上，每出现一次顶格扣分的，甲方有权要求支付10000元作为违约金；累计出现三次顶格扣分的，甲方可视为乙方的服务不符合采购标准，解除本合同，要求乙方支付本合同价款总额10%作为违约金，由此造成的甲方经济损失由乙方承担。</w:t>
      </w:r>
    </w:p>
    <w:p>
      <w:pPr>
        <w:pStyle w:val="2"/>
        <w:spacing w:after="0" w:line="440" w:lineRule="exact"/>
        <w:ind w:left="0" w:leftChars="0"/>
        <w:jc w:val="left"/>
      </w:pPr>
      <w:r>
        <w:rPr>
          <w:rFonts w:hint="eastAsia"/>
        </w:rPr>
        <w:t>5、其它违约责任按《中华人民共和国民法典》处理。</w:t>
      </w:r>
    </w:p>
    <w:p>
      <w:pPr>
        <w:pStyle w:val="2"/>
        <w:spacing w:after="0" w:line="440" w:lineRule="exact"/>
        <w:ind w:left="0" w:leftChars="0" w:firstLine="422"/>
        <w:jc w:val="left"/>
        <w:rPr>
          <w:b/>
        </w:rPr>
      </w:pPr>
      <w:r>
        <w:rPr>
          <w:rFonts w:hint="eastAsia"/>
          <w:b/>
        </w:rPr>
        <w:t>十、争端的解决</w:t>
      </w:r>
    </w:p>
    <w:p>
      <w:pPr>
        <w:pStyle w:val="2"/>
        <w:spacing w:after="0" w:line="440" w:lineRule="exact"/>
        <w:ind w:left="0" w:leftChars="0"/>
        <w:jc w:val="left"/>
      </w:pPr>
      <w:r>
        <w:rPr>
          <w:rFonts w:hint="eastAsia"/>
        </w:rPr>
        <w:t>合同执行过程中发生的任何争议，如双方不能通过友好协商解决，任一方均可向甲方所在地人民法院提起诉讼。</w:t>
      </w:r>
    </w:p>
    <w:p>
      <w:pPr>
        <w:pStyle w:val="2"/>
        <w:spacing w:after="0" w:line="440" w:lineRule="exact"/>
        <w:ind w:left="0" w:leftChars="0" w:firstLine="422"/>
        <w:jc w:val="left"/>
        <w:rPr>
          <w:b/>
        </w:rPr>
      </w:pPr>
      <w:r>
        <w:rPr>
          <w:rFonts w:hint="eastAsia"/>
          <w:b/>
        </w:rPr>
        <w:t>十一、不可抗力</w:t>
      </w:r>
    </w:p>
    <w:p>
      <w:pPr>
        <w:pStyle w:val="2"/>
        <w:spacing w:after="0" w:line="440" w:lineRule="exact"/>
        <w:ind w:left="0" w:leftChars="0"/>
        <w:jc w:val="left"/>
      </w:pPr>
      <w:r>
        <w:rPr>
          <w:rFonts w:hint="eastAsia"/>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2"/>
        <w:spacing w:after="0" w:line="440" w:lineRule="exact"/>
        <w:ind w:left="0" w:leftChars="0" w:firstLine="422"/>
        <w:jc w:val="left"/>
        <w:rPr>
          <w:b/>
        </w:rPr>
      </w:pPr>
      <w:r>
        <w:rPr>
          <w:rFonts w:hint="eastAsia"/>
          <w:b/>
        </w:rPr>
        <w:t>十二、税费</w:t>
      </w:r>
    </w:p>
    <w:p>
      <w:pPr>
        <w:pStyle w:val="2"/>
        <w:spacing w:after="0" w:line="440" w:lineRule="exact"/>
        <w:ind w:left="0" w:leftChars="0"/>
        <w:jc w:val="left"/>
      </w:pPr>
      <w:r>
        <w:rPr>
          <w:rFonts w:hint="eastAsia"/>
        </w:rPr>
        <w:t>在中国境内、外发生的与本合同执行有关的一切税费均由乙方负担。</w:t>
      </w:r>
    </w:p>
    <w:p>
      <w:pPr>
        <w:pStyle w:val="2"/>
        <w:spacing w:after="0" w:line="440" w:lineRule="exact"/>
        <w:ind w:left="0" w:leftChars="0" w:firstLine="422"/>
        <w:jc w:val="left"/>
        <w:rPr>
          <w:b/>
        </w:rPr>
      </w:pPr>
      <w:r>
        <w:rPr>
          <w:rFonts w:hint="eastAsia"/>
          <w:b/>
        </w:rPr>
        <w:t>十三、其它</w:t>
      </w:r>
    </w:p>
    <w:p>
      <w:pPr>
        <w:pStyle w:val="2"/>
        <w:spacing w:after="0" w:line="440" w:lineRule="exact"/>
        <w:ind w:left="0" w:leftChars="0"/>
        <w:jc w:val="left"/>
      </w:pPr>
      <w:r>
        <w:rPr>
          <w:rFonts w:hint="eastAsia"/>
        </w:rPr>
        <w:t>1、 在执行本合同的过程中，所有经双方签署确认的文件（包括会议纪要、补充协议、往来信函）即成为本合同的有效组成部分。</w:t>
      </w:r>
    </w:p>
    <w:p>
      <w:pPr>
        <w:pStyle w:val="2"/>
        <w:spacing w:after="0" w:line="440" w:lineRule="exact"/>
        <w:ind w:left="0" w:leftChars="0"/>
        <w:jc w:val="left"/>
      </w:pPr>
      <w:r>
        <w:rPr>
          <w:rFonts w:hint="eastAsia"/>
        </w:rPr>
        <w:t>2、如一方地址、电话、传真号码有变更，应在变更当日内书面通知对方，否则，应承担相应责任。</w:t>
      </w:r>
    </w:p>
    <w:p>
      <w:pPr>
        <w:pStyle w:val="2"/>
        <w:spacing w:after="0" w:line="440" w:lineRule="exact"/>
        <w:ind w:left="0" w:leftChars="0"/>
        <w:jc w:val="left"/>
      </w:pPr>
      <w:r>
        <w:rPr>
          <w:rFonts w:hint="eastAsia"/>
        </w:rPr>
        <w:t>3、除甲方事先书面同意外，乙方不得部分或全部转让其应履行的合同项下的义务。</w:t>
      </w:r>
    </w:p>
    <w:p>
      <w:pPr>
        <w:pStyle w:val="2"/>
        <w:spacing w:after="0" w:line="440" w:lineRule="exact"/>
        <w:ind w:left="0" w:leftChars="0" w:firstLine="422"/>
        <w:jc w:val="left"/>
        <w:rPr>
          <w:b/>
        </w:rPr>
      </w:pPr>
      <w:r>
        <w:rPr>
          <w:rFonts w:hint="eastAsia"/>
          <w:b/>
        </w:rPr>
        <w:t>十四、合同生效：</w:t>
      </w:r>
    </w:p>
    <w:p>
      <w:pPr>
        <w:pStyle w:val="2"/>
        <w:spacing w:after="0" w:line="440" w:lineRule="exact"/>
        <w:ind w:left="0" w:leftChars="0"/>
        <w:jc w:val="left"/>
      </w:pPr>
      <w:r>
        <w:rPr>
          <w:rFonts w:hint="eastAsia"/>
        </w:rPr>
        <w:t>1、本合同在甲乙双方法人代表或其授权代表签字盖章后生效。</w:t>
      </w:r>
    </w:p>
    <w:p>
      <w:pPr>
        <w:pStyle w:val="2"/>
        <w:spacing w:after="0" w:line="440" w:lineRule="exact"/>
        <w:ind w:left="0" w:leftChars="0"/>
        <w:jc w:val="left"/>
      </w:pPr>
      <w:r>
        <w:rPr>
          <w:rFonts w:hint="eastAsia"/>
        </w:rPr>
        <w:t>2、本合同一式 六 份，甲方执 三 份，乙方执 两 份，一份交采购代理机构，具有同等法律效力。</w:t>
      </w:r>
    </w:p>
    <w:p>
      <w:pPr>
        <w:pStyle w:val="2"/>
        <w:spacing w:after="0" w:line="440" w:lineRule="exact"/>
        <w:ind w:left="0" w:leftChars="0"/>
        <w:jc w:val="left"/>
      </w:pPr>
    </w:p>
    <w:p>
      <w:pPr>
        <w:pStyle w:val="2"/>
        <w:spacing w:after="0" w:line="440" w:lineRule="exact"/>
        <w:ind w:left="0" w:leftChars="0"/>
        <w:jc w:val="left"/>
      </w:pPr>
      <w:r>
        <w:rPr>
          <w:rFonts w:hint="eastAsia"/>
        </w:rPr>
        <w:t>甲方（盖章）：                      乙方（盖章）：</w:t>
      </w:r>
    </w:p>
    <w:p>
      <w:pPr>
        <w:pStyle w:val="2"/>
        <w:spacing w:after="0" w:line="440" w:lineRule="exact"/>
        <w:ind w:left="0" w:leftChars="0"/>
        <w:jc w:val="left"/>
      </w:pPr>
      <w:r>
        <w:rPr>
          <w:rFonts w:hint="eastAsia"/>
        </w:rPr>
        <w:t>法定代表人或委任代理人：            法定代表人或委任代理人：</w:t>
      </w:r>
    </w:p>
    <w:p>
      <w:pPr>
        <w:pStyle w:val="2"/>
        <w:spacing w:after="0" w:line="440" w:lineRule="exact"/>
        <w:ind w:left="0" w:leftChars="0"/>
        <w:jc w:val="left"/>
      </w:pPr>
      <w:r>
        <w:rPr>
          <w:rFonts w:hint="eastAsia"/>
        </w:rPr>
        <w:t>联系电话：                          联系电话：</w:t>
      </w:r>
    </w:p>
    <w:p>
      <w:pPr>
        <w:pStyle w:val="2"/>
        <w:spacing w:after="0" w:line="440" w:lineRule="exact"/>
        <w:ind w:left="0" w:leftChars="0"/>
        <w:jc w:val="left"/>
      </w:pPr>
      <w:r>
        <w:rPr>
          <w:rFonts w:hint="eastAsia"/>
        </w:rPr>
        <w:t>地址：                              地址：</w:t>
      </w:r>
    </w:p>
    <w:p>
      <w:pPr>
        <w:pStyle w:val="2"/>
        <w:spacing w:after="0" w:line="440" w:lineRule="exact"/>
        <w:ind w:left="0" w:leftChars="0" w:firstLine="1050" w:firstLineChars="500"/>
        <w:jc w:val="left"/>
      </w:pPr>
      <w:r>
        <w:rPr>
          <w:rFonts w:hint="eastAsia"/>
        </w:rPr>
        <w:t>年   月   日                             年   月   日</w:t>
      </w:r>
    </w:p>
    <w:p>
      <w:pPr>
        <w:pStyle w:val="2"/>
        <w:spacing w:after="0" w:line="440" w:lineRule="exact"/>
        <w:ind w:left="0" w:leftChars="0"/>
        <w:jc w:val="left"/>
      </w:pPr>
    </w:p>
    <w:p>
      <w:pPr>
        <w:pStyle w:val="2"/>
        <w:spacing w:after="0" w:line="440" w:lineRule="exact"/>
        <w:ind w:left="0" w:leftChars="0"/>
        <w:jc w:val="left"/>
      </w:pPr>
    </w:p>
    <w:p>
      <w:pPr>
        <w:pStyle w:val="2"/>
        <w:spacing w:after="0" w:line="440" w:lineRule="exact"/>
        <w:ind w:left="0" w:leftChars="0"/>
        <w:jc w:val="left"/>
      </w:pPr>
      <w:r>
        <w:rPr>
          <w:rFonts w:hint="eastAsia"/>
        </w:rPr>
        <w:t>附件1：采购需求</w:t>
      </w:r>
    </w:p>
    <w:p>
      <w:pPr>
        <w:pStyle w:val="2"/>
      </w:pPr>
    </w:p>
    <w:p>
      <w:pPr>
        <w:pStyle w:val="2"/>
      </w:pPr>
    </w:p>
    <w:p>
      <w:pPr>
        <w:widowControl/>
        <w:jc w:val="left"/>
        <w:rPr>
          <w:rFonts w:eastAsia="仿宋_GB2312"/>
          <w:b/>
        </w:rPr>
      </w:pPr>
      <w:r>
        <w:rPr>
          <w:rFonts w:hint="eastAsia"/>
          <w:b/>
          <w:sz w:val="24"/>
        </w:rPr>
        <w:t>注：本合同由采购人按照招标文件和中标人投标文件的规定，与中标人签订书面合同。</w:t>
      </w:r>
    </w:p>
    <w:p>
      <w:pPr>
        <w:spacing w:line="440" w:lineRule="exact"/>
        <w:jc w:val="center"/>
        <w:rPr>
          <w:rFonts w:eastAsia="黑体"/>
          <w:b/>
          <w:bCs/>
          <w:sz w:val="36"/>
        </w:rPr>
      </w:pPr>
      <w:r>
        <w:rPr>
          <w:sz w:val="24"/>
        </w:rPr>
        <w:br w:type="page"/>
      </w:r>
      <w:bookmarkStart w:id="202" w:name="_Toc316913533"/>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rPr>
          <w:rFonts w:eastAsia="黑体"/>
          <w:b/>
          <w:bCs/>
          <w:sz w:val="36"/>
        </w:rPr>
      </w:pPr>
    </w:p>
    <w:p>
      <w:pPr>
        <w:spacing w:line="440" w:lineRule="exact"/>
        <w:jc w:val="center"/>
        <w:outlineLvl w:val="1"/>
        <w:rPr>
          <w:b/>
          <w:bCs/>
          <w:sz w:val="44"/>
          <w:szCs w:val="44"/>
        </w:rPr>
      </w:pPr>
      <w:bookmarkStart w:id="203" w:name="_Toc170229669"/>
      <w:bookmarkStart w:id="204" w:name="_Toc10124666"/>
      <w:r>
        <w:rPr>
          <w:rFonts w:hint="eastAsia"/>
          <w:b/>
          <w:bCs/>
          <w:sz w:val="44"/>
          <w:szCs w:val="44"/>
        </w:rPr>
        <w:t>第七部分  投标文件格式</w:t>
      </w:r>
      <w:bookmarkEnd w:id="203"/>
      <w:bookmarkEnd w:id="204"/>
    </w:p>
    <w:bookmarkEnd w:id="202"/>
    <w:p>
      <w:pPr>
        <w:spacing w:line="360" w:lineRule="auto"/>
        <w:rPr>
          <w:szCs w:val="21"/>
        </w:rPr>
      </w:pPr>
      <w:r>
        <w:rPr>
          <w:sz w:val="24"/>
        </w:rPr>
        <w:br w:type="page"/>
      </w:r>
    </w:p>
    <w:p>
      <w:pPr>
        <w:wordWrap w:val="0"/>
        <w:spacing w:line="360" w:lineRule="auto"/>
        <w:jc w:val="right"/>
        <w:rPr>
          <w:b/>
          <w:szCs w:val="21"/>
        </w:rPr>
      </w:pPr>
      <w:r>
        <w:rPr>
          <w:rFonts w:hint="eastAsia"/>
          <w:b/>
          <w:szCs w:val="21"/>
        </w:rPr>
        <w:t xml:space="preserve">（封面格式仅供参考）                                            </w:t>
      </w:r>
      <w:r>
        <w:rPr>
          <w:rFonts w:hint="eastAsia" w:eastAsia="黑体"/>
          <w:bCs/>
          <w:sz w:val="30"/>
          <w:szCs w:val="30"/>
        </w:rPr>
        <w:t>（正本/副本）</w:t>
      </w:r>
    </w:p>
    <w:p>
      <w:pPr>
        <w:spacing w:line="360" w:lineRule="auto"/>
        <w:rPr>
          <w:szCs w:val="21"/>
        </w:rPr>
      </w:pPr>
    </w:p>
    <w:p>
      <w:pPr>
        <w:pStyle w:val="24"/>
        <w:tabs>
          <w:tab w:val="left" w:pos="1260"/>
        </w:tabs>
        <w:spacing w:line="360" w:lineRule="auto"/>
        <w:jc w:val="center"/>
        <w:rPr>
          <w:rFonts w:ascii="Times New Roman" w:hAnsi="Times New Roman"/>
          <w:b/>
          <w:spacing w:val="100"/>
          <w:w w:val="110"/>
          <w:kern w:val="0"/>
          <w:sz w:val="36"/>
          <w:szCs w:val="36"/>
        </w:rPr>
      </w:pPr>
    </w:p>
    <w:p>
      <w:pPr>
        <w:pStyle w:val="24"/>
        <w:tabs>
          <w:tab w:val="left" w:pos="1260"/>
        </w:tabs>
        <w:spacing w:line="360" w:lineRule="auto"/>
        <w:jc w:val="center"/>
        <w:rPr>
          <w:rFonts w:ascii="Times New Roman" w:hAnsi="Times New Roman"/>
          <w:b/>
          <w:spacing w:val="100"/>
          <w:w w:val="110"/>
          <w:kern w:val="0"/>
          <w:sz w:val="36"/>
          <w:szCs w:val="36"/>
        </w:rPr>
      </w:pPr>
    </w:p>
    <w:p>
      <w:pPr>
        <w:pStyle w:val="24"/>
        <w:tabs>
          <w:tab w:val="left" w:pos="1260"/>
        </w:tabs>
        <w:spacing w:line="360" w:lineRule="auto"/>
        <w:jc w:val="center"/>
        <w:rPr>
          <w:rFonts w:ascii="Times New Roman" w:hAnsi="Times New Roman" w:eastAsia="黑体"/>
          <w:b/>
          <w:sz w:val="84"/>
          <w:szCs w:val="84"/>
        </w:rPr>
      </w:pPr>
    </w:p>
    <w:p>
      <w:pPr>
        <w:spacing w:before="120" w:beforeLines="50" w:after="120" w:afterLines="50"/>
        <w:jc w:val="center"/>
        <w:rPr>
          <w:rFonts w:eastAsia="黑体"/>
          <w:b/>
          <w:sz w:val="84"/>
          <w:szCs w:val="84"/>
        </w:rPr>
      </w:pPr>
      <w:r>
        <w:rPr>
          <w:rFonts w:hint="eastAsia" w:eastAsia="黑体"/>
          <w:b/>
          <w:sz w:val="84"/>
          <w:szCs w:val="84"/>
        </w:rPr>
        <w:t>投标文件</w:t>
      </w:r>
    </w:p>
    <w:p>
      <w:pPr>
        <w:spacing w:line="360" w:lineRule="auto"/>
        <w:ind w:left="1"/>
        <w:jc w:val="center"/>
        <w:rPr>
          <w:rFonts w:eastAsia="黑体"/>
          <w:bCs/>
          <w:sz w:val="30"/>
          <w:szCs w:val="30"/>
        </w:rPr>
      </w:pPr>
    </w:p>
    <w:p>
      <w:pPr>
        <w:spacing w:line="360" w:lineRule="auto"/>
        <w:ind w:left="1"/>
        <w:jc w:val="center"/>
        <w:rPr>
          <w:rFonts w:eastAsia="黑体"/>
          <w:bCs/>
          <w:sz w:val="30"/>
          <w:szCs w:val="30"/>
        </w:rPr>
      </w:pPr>
    </w:p>
    <w:p>
      <w:pPr>
        <w:pStyle w:val="24"/>
        <w:spacing w:line="360" w:lineRule="auto"/>
        <w:jc w:val="center"/>
        <w:rPr>
          <w:rFonts w:ascii="Times New Roman" w:hAnsi="Times New Roman"/>
          <w:b/>
        </w:rPr>
      </w:pPr>
    </w:p>
    <w:p>
      <w:pPr>
        <w:pStyle w:val="24"/>
        <w:spacing w:line="360" w:lineRule="auto"/>
        <w:jc w:val="center"/>
        <w:rPr>
          <w:rFonts w:ascii="Times New Roman" w:hAnsi="Times New Roman"/>
          <w:b/>
        </w:rPr>
      </w:pPr>
    </w:p>
    <w:p>
      <w:pPr>
        <w:spacing w:before="120" w:beforeLines="50" w:after="120" w:afterLines="50"/>
        <w:ind w:left="898" w:leftChars="426" w:right="903" w:rightChars="430" w:hanging="3" w:hangingChars="1"/>
        <w:jc w:val="left"/>
        <w:rPr>
          <w:rFonts w:eastAsia="黑体"/>
          <w:bCs/>
          <w:sz w:val="30"/>
          <w:szCs w:val="30"/>
        </w:rPr>
      </w:pPr>
      <w:r>
        <w:rPr>
          <w:rFonts w:hint="eastAsia" w:eastAsia="黑体"/>
          <w:bCs/>
          <w:sz w:val="30"/>
          <w:szCs w:val="30"/>
        </w:rPr>
        <w:t>项目名称：</w:t>
      </w:r>
    </w:p>
    <w:p>
      <w:pPr>
        <w:spacing w:before="120" w:beforeLines="50" w:after="120" w:afterLines="50"/>
        <w:ind w:left="898" w:leftChars="426" w:right="903" w:rightChars="430" w:hanging="3" w:hangingChars="1"/>
        <w:jc w:val="left"/>
        <w:rPr>
          <w:rFonts w:eastAsia="黑体"/>
          <w:bCs/>
          <w:sz w:val="30"/>
          <w:szCs w:val="30"/>
        </w:rPr>
      </w:pPr>
      <w:r>
        <w:rPr>
          <w:rFonts w:hint="eastAsia" w:eastAsia="黑体"/>
          <w:bCs/>
          <w:sz w:val="30"/>
          <w:szCs w:val="30"/>
        </w:rPr>
        <w:t>采购编号：</w:t>
      </w:r>
    </w:p>
    <w:p>
      <w:pPr>
        <w:spacing w:line="360" w:lineRule="auto"/>
        <w:ind w:left="1"/>
        <w:jc w:val="center"/>
        <w:rPr>
          <w:rFonts w:eastAsia="黑体"/>
          <w:bCs/>
          <w:sz w:val="30"/>
          <w:szCs w:val="30"/>
        </w:rPr>
      </w:pPr>
    </w:p>
    <w:p>
      <w:pPr>
        <w:spacing w:line="360" w:lineRule="auto"/>
        <w:ind w:left="1"/>
        <w:jc w:val="center"/>
        <w:rPr>
          <w:rFonts w:eastAsia="黑体"/>
          <w:bCs/>
          <w:sz w:val="30"/>
          <w:szCs w:val="30"/>
        </w:rPr>
      </w:pPr>
    </w:p>
    <w:p>
      <w:pPr>
        <w:spacing w:line="360" w:lineRule="auto"/>
        <w:ind w:left="1"/>
        <w:jc w:val="center"/>
        <w:rPr>
          <w:rFonts w:eastAsia="黑体"/>
          <w:bCs/>
          <w:sz w:val="30"/>
          <w:szCs w:val="30"/>
        </w:rPr>
      </w:pPr>
    </w:p>
    <w:p>
      <w:pPr>
        <w:spacing w:line="360" w:lineRule="auto"/>
        <w:ind w:left="1"/>
        <w:jc w:val="center"/>
        <w:rPr>
          <w:rFonts w:eastAsia="黑体"/>
          <w:bCs/>
          <w:sz w:val="30"/>
          <w:szCs w:val="30"/>
        </w:rPr>
      </w:pPr>
    </w:p>
    <w:p>
      <w:pPr>
        <w:spacing w:line="360" w:lineRule="auto"/>
        <w:ind w:left="1"/>
        <w:jc w:val="center"/>
        <w:rPr>
          <w:rFonts w:eastAsia="黑体"/>
          <w:bCs/>
          <w:sz w:val="30"/>
          <w:szCs w:val="30"/>
        </w:rPr>
      </w:pPr>
    </w:p>
    <w:p>
      <w:pPr>
        <w:spacing w:before="120" w:beforeLines="50" w:after="120" w:afterLines="50"/>
        <w:ind w:left="898" w:leftChars="426" w:right="903" w:rightChars="430" w:hanging="3" w:hangingChars="1"/>
        <w:jc w:val="left"/>
        <w:rPr>
          <w:rFonts w:eastAsia="黑体"/>
          <w:bCs/>
          <w:sz w:val="30"/>
          <w:szCs w:val="30"/>
        </w:rPr>
      </w:pPr>
      <w:r>
        <w:rPr>
          <w:rFonts w:hint="eastAsia" w:eastAsia="黑体"/>
          <w:bCs/>
          <w:sz w:val="30"/>
          <w:szCs w:val="30"/>
        </w:rPr>
        <w:t>投标人名称：</w:t>
      </w:r>
    </w:p>
    <w:p>
      <w:pPr>
        <w:spacing w:before="120" w:beforeLines="50" w:after="120" w:afterLines="50"/>
        <w:ind w:left="898" w:leftChars="426" w:right="903" w:rightChars="430" w:hanging="3" w:hangingChars="1"/>
        <w:jc w:val="left"/>
        <w:rPr>
          <w:rFonts w:eastAsia="黑体"/>
          <w:bCs/>
          <w:sz w:val="30"/>
          <w:szCs w:val="30"/>
        </w:rPr>
      </w:pPr>
      <w:r>
        <w:rPr>
          <w:rFonts w:hint="eastAsia" w:eastAsia="黑体"/>
          <w:bCs/>
          <w:sz w:val="30"/>
          <w:szCs w:val="30"/>
        </w:rPr>
        <w:t>投标人地址：</w:t>
      </w:r>
    </w:p>
    <w:p>
      <w:pPr>
        <w:spacing w:before="120" w:beforeLines="50" w:after="120" w:afterLines="50"/>
        <w:ind w:left="898" w:leftChars="426" w:right="903" w:rightChars="430" w:hanging="3" w:hangingChars="1"/>
        <w:jc w:val="left"/>
        <w:rPr>
          <w:rFonts w:eastAsia="黑体"/>
          <w:bCs/>
          <w:sz w:val="30"/>
          <w:szCs w:val="30"/>
        </w:rPr>
      </w:pPr>
      <w:r>
        <w:rPr>
          <w:rFonts w:hint="eastAsia" w:eastAsia="黑体"/>
          <w:bCs/>
          <w:sz w:val="30"/>
          <w:szCs w:val="30"/>
        </w:rPr>
        <w:t>日期：   年  月  日</w:t>
      </w:r>
    </w:p>
    <w:p>
      <w:pPr>
        <w:spacing w:line="360" w:lineRule="exact"/>
        <w:rPr>
          <w:sz w:val="24"/>
        </w:rPr>
      </w:pPr>
    </w:p>
    <w:p>
      <w:pPr>
        <w:widowControl/>
        <w:jc w:val="left"/>
        <w:rPr>
          <w:sz w:val="24"/>
        </w:rPr>
      </w:pPr>
      <w:r>
        <w:rPr>
          <w:sz w:val="24"/>
        </w:rPr>
        <w:br w:type="page"/>
      </w:r>
    </w:p>
    <w:p>
      <w:pPr>
        <w:spacing w:before="240" w:beforeLines="100" w:after="240" w:afterLines="100"/>
        <w:jc w:val="center"/>
        <w:outlineLvl w:val="1"/>
      </w:pPr>
      <w:bookmarkStart w:id="205" w:name="_Toc170229670"/>
      <w:bookmarkStart w:id="206" w:name="_Toc10124667"/>
      <w:r>
        <w:rPr>
          <w:rFonts w:hint="eastAsia"/>
          <w:b/>
          <w:bCs/>
          <w:sz w:val="44"/>
          <w:szCs w:val="44"/>
        </w:rPr>
        <w:t>一、投标函</w:t>
      </w:r>
      <w:bookmarkEnd w:id="205"/>
      <w:bookmarkEnd w:id="206"/>
    </w:p>
    <w:p>
      <w:pPr>
        <w:spacing w:line="360" w:lineRule="exact"/>
        <w:rPr>
          <w:sz w:val="24"/>
        </w:rPr>
      </w:pPr>
      <w:r>
        <w:rPr>
          <w:rFonts w:hint="eastAsia"/>
          <w:sz w:val="24"/>
        </w:rPr>
        <w:t>致：广东中元招标代理有限公司</w:t>
      </w:r>
    </w:p>
    <w:p>
      <w:pPr>
        <w:spacing w:line="360" w:lineRule="exact"/>
        <w:ind w:firstLine="480" w:firstLineChars="200"/>
        <w:rPr>
          <w:sz w:val="24"/>
        </w:rPr>
      </w:pPr>
      <w:r>
        <w:rPr>
          <w:rFonts w:hint="eastAsia"/>
          <w:sz w:val="24"/>
        </w:rPr>
        <w:t>我方确认收到贵方提供的</w:t>
      </w:r>
      <w:r>
        <w:rPr>
          <w:rFonts w:hint="eastAsia"/>
          <w:sz w:val="24"/>
          <w:u w:val="single"/>
        </w:rPr>
        <w:t xml:space="preserve">      （项目名称）       </w:t>
      </w:r>
      <w:r>
        <w:rPr>
          <w:rFonts w:hint="eastAsia"/>
          <w:sz w:val="24"/>
        </w:rPr>
        <w:t>的招标文件（采购编号：</w:t>
      </w:r>
      <w:r>
        <w:rPr>
          <w:rFonts w:hint="eastAsia"/>
          <w:sz w:val="24"/>
          <w:u w:val="single"/>
        </w:rPr>
        <w:t xml:space="preserve">              </w:t>
      </w:r>
      <w:r>
        <w:rPr>
          <w:rFonts w:hint="eastAsia"/>
          <w:sz w:val="24"/>
        </w:rPr>
        <w:t>）的全部内容，我方：</w:t>
      </w:r>
      <w:r>
        <w:rPr>
          <w:rFonts w:hint="eastAsia"/>
          <w:sz w:val="24"/>
          <w:u w:val="single"/>
        </w:rPr>
        <w:t xml:space="preserve">     （投标人名称）     </w:t>
      </w:r>
      <w:r>
        <w:rPr>
          <w:rFonts w:hint="eastAsia"/>
          <w:sz w:val="24"/>
        </w:rPr>
        <w:t>作为投标人正式委托</w:t>
      </w:r>
      <w:r>
        <w:rPr>
          <w:rFonts w:hint="eastAsia"/>
          <w:sz w:val="24"/>
          <w:u w:val="single"/>
        </w:rPr>
        <w:t xml:space="preserve">  （受委托人全名，职务）  </w:t>
      </w:r>
      <w:r>
        <w:rPr>
          <w:rFonts w:hint="eastAsia"/>
          <w:sz w:val="24"/>
        </w:rPr>
        <w:t>代表我方进行有关本次采购的一切事宜。</w:t>
      </w:r>
    </w:p>
    <w:p>
      <w:pPr>
        <w:spacing w:line="360" w:lineRule="exact"/>
        <w:ind w:firstLine="480" w:firstLineChars="200"/>
        <w:rPr>
          <w:sz w:val="24"/>
        </w:rPr>
      </w:pPr>
      <w:r>
        <w:rPr>
          <w:rFonts w:hint="eastAsia"/>
          <w:sz w:val="24"/>
        </w:rPr>
        <w:t>在此提交的投标文件，正本套，副本套，唱标信封及电子文件各1份。</w:t>
      </w:r>
    </w:p>
    <w:p>
      <w:pPr>
        <w:spacing w:line="360" w:lineRule="exact"/>
        <w:ind w:firstLine="480" w:firstLineChars="200"/>
        <w:rPr>
          <w:sz w:val="24"/>
        </w:rPr>
      </w:pPr>
      <w:r>
        <w:rPr>
          <w:rFonts w:hint="eastAsia"/>
          <w:sz w:val="24"/>
        </w:rPr>
        <w:t>我方已完全明白招标文件的所有条款要求，并重申以下几点：</w:t>
      </w:r>
    </w:p>
    <w:p>
      <w:pPr>
        <w:spacing w:line="360" w:lineRule="exact"/>
        <w:ind w:firstLine="480" w:firstLineChars="200"/>
        <w:rPr>
          <w:sz w:val="24"/>
        </w:rPr>
      </w:pPr>
      <w:r>
        <w:rPr>
          <w:rFonts w:hint="eastAsia"/>
          <w:sz w:val="24"/>
        </w:rPr>
        <w:t>（—）我方决定参加采购编号为</w:t>
      </w:r>
      <w:r>
        <w:rPr>
          <w:rFonts w:hint="eastAsia"/>
          <w:sz w:val="24"/>
          <w:u w:val="single"/>
        </w:rPr>
        <w:t xml:space="preserve">            </w:t>
      </w:r>
      <w:r>
        <w:rPr>
          <w:rFonts w:hint="eastAsia"/>
          <w:sz w:val="24"/>
        </w:rPr>
        <w:t>的报价；</w:t>
      </w:r>
    </w:p>
    <w:p>
      <w:pPr>
        <w:spacing w:line="360" w:lineRule="exact"/>
        <w:ind w:firstLine="480" w:firstLineChars="200"/>
        <w:rPr>
          <w:sz w:val="24"/>
        </w:rPr>
      </w:pPr>
      <w:r>
        <w:rPr>
          <w:rFonts w:hint="eastAsia"/>
          <w:sz w:val="24"/>
        </w:rPr>
        <w:t>（二）全部货物及服务的报价都包含在投标总价内（详见</w:t>
      </w:r>
      <w:r>
        <w:rPr>
          <w:rFonts w:hint="eastAsia"/>
          <w:bCs/>
          <w:sz w:val="24"/>
        </w:rPr>
        <w:t>开标一览表</w:t>
      </w:r>
      <w:r>
        <w:rPr>
          <w:rFonts w:hint="eastAsia"/>
          <w:sz w:val="24"/>
        </w:rPr>
        <w:t>）；</w:t>
      </w:r>
    </w:p>
    <w:p>
      <w:pPr>
        <w:spacing w:line="360" w:lineRule="exact"/>
        <w:ind w:firstLine="480" w:firstLineChars="200"/>
        <w:rPr>
          <w:sz w:val="24"/>
        </w:rPr>
      </w:pPr>
      <w:r>
        <w:rPr>
          <w:rFonts w:hint="eastAsia"/>
          <w:sz w:val="24"/>
        </w:rPr>
        <w:t>（三）本投标文件的有效期自投标截止日后90天有效，如中标，有效期将延至合同终止日为止；</w:t>
      </w:r>
    </w:p>
    <w:p>
      <w:pPr>
        <w:spacing w:line="360" w:lineRule="exact"/>
        <w:ind w:firstLine="480" w:firstLineChars="200"/>
        <w:rPr>
          <w:sz w:val="24"/>
        </w:rPr>
      </w:pPr>
      <w:r>
        <w:rPr>
          <w:rFonts w:hint="eastAsia"/>
          <w:sz w:val="24"/>
        </w:rPr>
        <w:t>（四）</w:t>
      </w:r>
      <w:r>
        <w:rPr>
          <w:sz w:val="24"/>
        </w:rPr>
        <w:t>我方已完整阅读了招标文件的所有内容（包括澄清，以及所有已提供的参考资料和有关附件），并完全理解上述文件所表达的意思，该项目递交投标文件时间截止后，我方承诺不再对上述文件内容进行询问或质疑。</w:t>
      </w:r>
    </w:p>
    <w:p>
      <w:pPr>
        <w:spacing w:line="360" w:lineRule="exact"/>
        <w:ind w:firstLine="480" w:firstLineChars="200"/>
        <w:rPr>
          <w:sz w:val="24"/>
        </w:rPr>
      </w:pPr>
      <w:r>
        <w:rPr>
          <w:rFonts w:hint="eastAsia"/>
          <w:sz w:val="24"/>
        </w:rPr>
        <w:t>（五）我方同意按照贵方可能提出的要求而提供与报价有关的任何其他数据或信息；</w:t>
      </w:r>
    </w:p>
    <w:p>
      <w:pPr>
        <w:spacing w:line="360" w:lineRule="exact"/>
        <w:ind w:firstLine="480" w:firstLineChars="200"/>
        <w:rPr>
          <w:sz w:val="24"/>
        </w:rPr>
      </w:pPr>
      <w:r>
        <w:rPr>
          <w:rFonts w:hint="eastAsia"/>
          <w:sz w:val="24"/>
        </w:rPr>
        <w:t>（六）我方如果中选，将保证履行招标文件以及招标文件修改书（如果有的话）中的全部责任和义务，按质、按量、按期完成《合同书》中的全部任务；</w:t>
      </w:r>
    </w:p>
    <w:p>
      <w:pPr>
        <w:spacing w:line="360" w:lineRule="exact"/>
        <w:ind w:firstLine="480"/>
      </w:pPr>
      <w:r>
        <w:rPr>
          <w:rFonts w:hint="eastAsia"/>
          <w:sz w:val="24"/>
        </w:rPr>
        <w:t xml:space="preserve">（七）我方投标报价已包含应向知识产权所有权人支付的所有相关税费，并保证采购人在中国使用我方提供的货物或服务时，如有第三方提出侵犯其知识产权主张的，责任由我方自行承担； </w:t>
      </w:r>
    </w:p>
    <w:p>
      <w:pPr>
        <w:spacing w:line="360" w:lineRule="exact"/>
        <w:ind w:firstLine="480" w:firstLineChars="200"/>
        <w:rPr>
          <w:sz w:val="24"/>
        </w:rPr>
      </w:pPr>
      <w:r>
        <w:rPr>
          <w:rFonts w:hint="eastAsia"/>
          <w:sz w:val="24"/>
        </w:rPr>
        <w:t>（八）所有与本次采购有关的函件请发往下列地址：</w:t>
      </w:r>
    </w:p>
    <w:p>
      <w:pPr>
        <w:spacing w:line="360" w:lineRule="exact"/>
        <w:ind w:firstLine="480" w:firstLineChars="200"/>
        <w:rPr>
          <w:sz w:val="24"/>
        </w:rPr>
      </w:pPr>
    </w:p>
    <w:p>
      <w:pPr>
        <w:spacing w:line="360" w:lineRule="exact"/>
        <w:ind w:firstLine="480" w:firstLineChars="200"/>
        <w:rPr>
          <w:sz w:val="24"/>
        </w:rPr>
      </w:pPr>
      <w:r>
        <w:rPr>
          <w:rFonts w:hint="eastAsia"/>
          <w:sz w:val="24"/>
        </w:rPr>
        <w:t>地    址：</w:t>
      </w:r>
      <w:r>
        <w:rPr>
          <w:rFonts w:hint="eastAsia"/>
          <w:sz w:val="24"/>
          <w:u w:val="single"/>
        </w:rPr>
        <w:t xml:space="preserve">                      </w:t>
      </w:r>
      <w:r>
        <w:rPr>
          <w:rFonts w:hint="eastAsia"/>
          <w:sz w:val="24"/>
        </w:rPr>
        <w:t>邮政编码：</w:t>
      </w:r>
      <w:r>
        <w:rPr>
          <w:rFonts w:hint="eastAsia"/>
          <w:sz w:val="24"/>
          <w:u w:val="single"/>
        </w:rPr>
        <w:t xml:space="preserve">          </w:t>
      </w:r>
    </w:p>
    <w:p>
      <w:pPr>
        <w:spacing w:line="360" w:lineRule="exact"/>
        <w:ind w:firstLine="480" w:firstLineChars="200"/>
        <w:rPr>
          <w:sz w:val="24"/>
        </w:rPr>
      </w:pPr>
      <w:r>
        <w:rPr>
          <w:rFonts w:hint="eastAsia"/>
          <w:sz w:val="24"/>
        </w:rPr>
        <w:t>联 系 人：</w:t>
      </w:r>
      <w:r>
        <w:rPr>
          <w:rFonts w:hint="eastAsia"/>
          <w:sz w:val="24"/>
          <w:u w:val="single"/>
        </w:rPr>
        <w:t xml:space="preserve">                      </w:t>
      </w:r>
    </w:p>
    <w:p>
      <w:pPr>
        <w:spacing w:line="360" w:lineRule="exact"/>
        <w:ind w:firstLine="480" w:firstLineChars="200"/>
        <w:rPr>
          <w:sz w:val="24"/>
        </w:rPr>
      </w:pPr>
      <w:r>
        <w:rPr>
          <w:rFonts w:hint="eastAsia"/>
          <w:sz w:val="24"/>
        </w:rPr>
        <w:t>联系电话：</w:t>
      </w:r>
      <w:r>
        <w:rPr>
          <w:rFonts w:hint="eastAsia"/>
          <w:sz w:val="24"/>
          <w:u w:val="single"/>
        </w:rPr>
        <w:t xml:space="preserve">                      </w:t>
      </w:r>
      <w:r>
        <w:rPr>
          <w:rFonts w:hint="eastAsia"/>
          <w:sz w:val="24"/>
        </w:rPr>
        <w:t>传    真：</w:t>
      </w:r>
      <w:r>
        <w:rPr>
          <w:rFonts w:hint="eastAsia"/>
          <w:sz w:val="24"/>
          <w:u w:val="single"/>
        </w:rPr>
        <w:t xml:space="preserve">          </w:t>
      </w:r>
    </w:p>
    <w:p>
      <w:pPr>
        <w:spacing w:line="360" w:lineRule="exact"/>
        <w:ind w:firstLine="480" w:firstLineChars="200"/>
        <w:rPr>
          <w:sz w:val="24"/>
        </w:rPr>
      </w:pPr>
    </w:p>
    <w:p>
      <w:pPr>
        <w:spacing w:line="360" w:lineRule="exact"/>
        <w:ind w:firstLine="480" w:firstLineChars="200"/>
        <w:rPr>
          <w:sz w:val="24"/>
        </w:rPr>
      </w:pPr>
    </w:p>
    <w:p>
      <w:pPr>
        <w:spacing w:line="360" w:lineRule="exact"/>
        <w:ind w:firstLine="480" w:firstLineChars="200"/>
        <w:rPr>
          <w:sz w:val="24"/>
        </w:rPr>
      </w:pPr>
    </w:p>
    <w:p>
      <w:pPr>
        <w:spacing w:line="360" w:lineRule="exact"/>
        <w:ind w:firstLine="480" w:firstLineChars="200"/>
        <w:rPr>
          <w:sz w:val="24"/>
        </w:rPr>
      </w:pPr>
      <w:r>
        <w:rPr>
          <w:rFonts w:hint="eastAsia"/>
          <w:sz w:val="24"/>
        </w:rPr>
        <w:t>投标人名称（加盖公章）：</w:t>
      </w:r>
    </w:p>
    <w:p>
      <w:pPr>
        <w:spacing w:line="360" w:lineRule="exact"/>
        <w:ind w:firstLine="480" w:firstLineChars="200"/>
        <w:rPr>
          <w:sz w:val="24"/>
        </w:rPr>
      </w:pPr>
      <w:r>
        <w:rPr>
          <w:rFonts w:hint="eastAsia"/>
          <w:sz w:val="24"/>
        </w:rPr>
        <w:t>投标人法定代表人或受委托人（签名或盖私章）：</w:t>
      </w:r>
    </w:p>
    <w:p>
      <w:pPr>
        <w:spacing w:line="360" w:lineRule="exact"/>
        <w:ind w:firstLine="480" w:firstLineChars="200"/>
        <w:rPr>
          <w:sz w:val="24"/>
        </w:rPr>
      </w:pPr>
      <w:r>
        <w:rPr>
          <w:rFonts w:hint="eastAsia"/>
          <w:sz w:val="24"/>
        </w:rPr>
        <w:t>日      期：</w:t>
      </w:r>
    </w:p>
    <w:p>
      <w:pPr>
        <w:spacing w:before="240" w:beforeLines="100" w:after="240" w:afterLines="100"/>
        <w:jc w:val="center"/>
        <w:outlineLvl w:val="1"/>
        <w:rPr>
          <w:sz w:val="24"/>
        </w:rPr>
      </w:pPr>
      <w:r>
        <w:rPr>
          <w:sz w:val="24"/>
        </w:rPr>
        <w:br w:type="page"/>
      </w:r>
      <w:bookmarkStart w:id="207" w:name="_Toc170229671"/>
      <w:bookmarkStart w:id="208" w:name="_Toc10124668"/>
      <w:r>
        <w:rPr>
          <w:rFonts w:hint="eastAsia"/>
          <w:b/>
          <w:bCs/>
          <w:sz w:val="44"/>
          <w:szCs w:val="44"/>
        </w:rPr>
        <w:t>二、开标一览表</w:t>
      </w:r>
      <w:bookmarkEnd w:id="207"/>
      <w:bookmarkEnd w:id="208"/>
    </w:p>
    <w:p>
      <w:pPr>
        <w:spacing w:line="360" w:lineRule="auto"/>
        <w:rPr>
          <w:sz w:val="24"/>
          <w:u w:val="single"/>
        </w:rPr>
      </w:pPr>
      <w:r>
        <w:rPr>
          <w:rFonts w:hint="eastAsia"/>
          <w:sz w:val="24"/>
        </w:rPr>
        <w:t>投标人名称：</w:t>
      </w:r>
      <w:r>
        <w:rPr>
          <w:rFonts w:hint="eastAsia"/>
          <w:sz w:val="24"/>
          <w:u w:val="single"/>
        </w:rPr>
        <w:t xml:space="preserve">                       </w:t>
      </w:r>
      <w:r>
        <w:rPr>
          <w:sz w:val="24"/>
        </w:rPr>
        <w:t xml:space="preserve">  </w:t>
      </w:r>
      <w:r>
        <w:rPr>
          <w:rFonts w:hint="eastAsia"/>
          <w:sz w:val="24"/>
        </w:rPr>
        <w:t>采购编号：</w:t>
      </w:r>
      <w:r>
        <w:rPr>
          <w:rFonts w:hint="eastAsia" w:ascii="Time New Roma" w:hAnsi="Time New Roma"/>
          <w:sz w:val="24"/>
          <w:u w:val="single"/>
        </w:rPr>
        <w:t xml:space="preserve">                   </w:t>
      </w:r>
    </w:p>
    <w:tbl>
      <w:tblPr>
        <w:tblStyle w:val="47"/>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969"/>
        <w:gridCol w:w="2136"/>
      </w:tblGrid>
      <w:tr>
        <w:tblPrEx>
          <w:tblCellMar>
            <w:top w:w="0" w:type="dxa"/>
            <w:left w:w="108" w:type="dxa"/>
            <w:bottom w:w="0" w:type="dxa"/>
            <w:right w:w="108" w:type="dxa"/>
          </w:tblCellMar>
        </w:tblPrEx>
        <w:trPr>
          <w:cantSplit/>
          <w:trHeight w:val="956" w:hRule="atLeast"/>
          <w:jc w:val="center"/>
        </w:trPr>
        <w:tc>
          <w:tcPr>
            <w:tcW w:w="2160" w:type="dxa"/>
            <w:vAlign w:val="center"/>
          </w:tcPr>
          <w:p>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cs="Arial"/>
                <w:b/>
                <w:bCs/>
              </w:rPr>
            </w:pPr>
            <w:r>
              <w:rPr>
                <w:rFonts w:hint="eastAsia" w:cs="Arial"/>
                <w:b/>
                <w:bCs/>
              </w:rPr>
              <w:t>项目名称</w:t>
            </w:r>
          </w:p>
        </w:tc>
        <w:tc>
          <w:tcPr>
            <w:tcW w:w="3969" w:type="dxa"/>
            <w:vAlign w:val="center"/>
          </w:tcPr>
          <w:p>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cs="Arial"/>
                <w:b/>
                <w:bCs/>
              </w:rPr>
            </w:pPr>
            <w:r>
              <w:rPr>
                <w:rFonts w:hint="eastAsia" w:cs="Arial"/>
                <w:b/>
                <w:bCs/>
              </w:rPr>
              <w:t>投标总报价</w:t>
            </w:r>
          </w:p>
        </w:tc>
        <w:tc>
          <w:tcPr>
            <w:tcW w:w="2136" w:type="dxa"/>
            <w:vAlign w:val="center"/>
          </w:tcPr>
          <w:p>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cs="Arial"/>
                <w:b/>
                <w:bCs/>
              </w:rPr>
            </w:pPr>
            <w:r>
              <w:rPr>
                <w:rFonts w:hint="eastAsia" w:cs="Arial"/>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2160" w:type="dxa"/>
            <w:vAlign w:val="center"/>
          </w:tcPr>
          <w:p>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cs="Arial"/>
                <w:b/>
                <w:bCs/>
                <w:sz w:val="24"/>
              </w:rPr>
            </w:pPr>
          </w:p>
        </w:tc>
        <w:tc>
          <w:tcPr>
            <w:tcW w:w="3969" w:type="dxa"/>
            <w:vAlign w:val="center"/>
          </w:tcPr>
          <w:p>
            <w:pPr>
              <w:widowControl/>
              <w:spacing w:line="300" w:lineRule="auto"/>
              <w:rPr>
                <w:sz w:val="24"/>
                <w:u w:val="single"/>
              </w:rPr>
            </w:pPr>
            <w:r>
              <w:rPr>
                <w:rFonts w:hint="eastAsia"/>
                <w:sz w:val="24"/>
              </w:rPr>
              <w:t>大写（人民币）</w:t>
            </w:r>
          </w:p>
          <w:p>
            <w:pPr>
              <w:tabs>
                <w:tab w:val="left" w:pos="654"/>
                <w:tab w:val="left" w:pos="1734"/>
                <w:tab w:val="left" w:pos="2814"/>
                <w:tab w:val="left" w:pos="3894"/>
                <w:tab w:val="left" w:pos="5334"/>
                <w:tab w:val="left" w:pos="6414"/>
                <w:tab w:val="left" w:pos="7254"/>
                <w:tab w:val="left" w:pos="8574"/>
                <w:tab w:val="left" w:pos="9654"/>
              </w:tabs>
              <w:spacing w:line="300" w:lineRule="auto"/>
              <w:rPr>
                <w:rFonts w:cs="Arial"/>
                <w:bCs/>
                <w:sz w:val="24"/>
                <w:u w:val="single"/>
              </w:rPr>
            </w:pPr>
            <w:r>
              <w:rPr>
                <w:rFonts w:hint="eastAsia"/>
                <w:sz w:val="24"/>
              </w:rPr>
              <w:t>小写（人民币）</w:t>
            </w:r>
          </w:p>
        </w:tc>
        <w:tc>
          <w:tcPr>
            <w:tcW w:w="2136" w:type="dxa"/>
            <w:vAlign w:val="center"/>
          </w:tcPr>
          <w:p>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cs="Arial"/>
                <w:bCs/>
              </w:rPr>
            </w:pPr>
          </w:p>
        </w:tc>
      </w:tr>
    </w:tbl>
    <w:p>
      <w:pPr>
        <w:spacing w:line="360" w:lineRule="auto"/>
        <w:rPr>
          <w:b/>
          <w:sz w:val="24"/>
        </w:rPr>
      </w:pPr>
    </w:p>
    <w:p>
      <w:pPr>
        <w:spacing w:line="440" w:lineRule="exact"/>
        <w:ind w:left="540" w:hanging="540" w:hangingChars="224"/>
        <w:rPr>
          <w:rFonts w:ascii="Time New Roma" w:hAnsi="Time New Roma"/>
          <w:b/>
          <w:sz w:val="24"/>
        </w:rPr>
      </w:pPr>
      <w:r>
        <w:rPr>
          <w:rFonts w:hint="eastAsia" w:ascii="Time New Roma" w:hAnsi="Time New Roma"/>
          <w:b/>
          <w:sz w:val="24"/>
        </w:rPr>
        <w:t>注：1、投标人应严格按照表格格式填写报价。</w:t>
      </w:r>
    </w:p>
    <w:p>
      <w:pPr>
        <w:spacing w:line="440" w:lineRule="exact"/>
        <w:ind w:firstLine="482" w:firstLineChars="200"/>
        <w:jc w:val="left"/>
        <w:rPr>
          <w:rFonts w:ascii="Time New Roma" w:hAnsi="Time New Roma"/>
          <w:b/>
          <w:sz w:val="24"/>
        </w:rPr>
      </w:pPr>
      <w:r>
        <w:rPr>
          <w:rFonts w:hint="eastAsia" w:ascii="Time New Roma" w:hAnsi="Time New Roma"/>
          <w:b/>
          <w:sz w:val="24"/>
        </w:rPr>
        <w:t>2、投标报价栏须</w:t>
      </w:r>
      <w:r>
        <w:rPr>
          <w:rFonts w:ascii="Time New Roma" w:hAnsi="Time New Roma"/>
          <w:b/>
          <w:sz w:val="24"/>
        </w:rPr>
        <w:t>用文字和数字</w:t>
      </w:r>
      <w:r>
        <w:rPr>
          <w:rFonts w:hint="eastAsia" w:ascii="Time New Roma" w:hAnsi="Time New Roma"/>
          <w:b/>
          <w:sz w:val="24"/>
        </w:rPr>
        <w:t>两种方式</w:t>
      </w:r>
      <w:r>
        <w:rPr>
          <w:rFonts w:ascii="Time New Roma" w:hAnsi="Time New Roma"/>
          <w:b/>
          <w:sz w:val="24"/>
        </w:rPr>
        <w:t>表示</w:t>
      </w:r>
      <w:r>
        <w:rPr>
          <w:rFonts w:hint="eastAsia" w:ascii="Time New Roma" w:hAnsi="Time New Roma"/>
          <w:b/>
          <w:sz w:val="24"/>
        </w:rPr>
        <w:t>。投标报价大小写不一致，以大写为准。投标报价必须准确唯一且应包含完成项目全部内容的所有费用。</w:t>
      </w:r>
    </w:p>
    <w:p>
      <w:pPr>
        <w:spacing w:line="440" w:lineRule="exact"/>
        <w:ind w:firstLine="482" w:firstLineChars="200"/>
        <w:jc w:val="left"/>
        <w:rPr>
          <w:rFonts w:ascii="Time New Roma" w:hAnsi="Time New Roma"/>
          <w:b/>
          <w:sz w:val="24"/>
        </w:rPr>
      </w:pPr>
      <w:r>
        <w:rPr>
          <w:rFonts w:hint="eastAsia" w:ascii="Time New Roma" w:hAnsi="Time New Roma"/>
          <w:b/>
          <w:sz w:val="24"/>
        </w:rPr>
        <w:t>3、投标人在此表中漏报、少报的费用，均视为已隐含在投标总价中，采购人无须再向投标人支付投标总价之外的任何费用。</w:t>
      </w:r>
    </w:p>
    <w:p>
      <w:pPr>
        <w:spacing w:line="440" w:lineRule="exact"/>
        <w:ind w:firstLine="482" w:firstLineChars="200"/>
        <w:jc w:val="left"/>
        <w:rPr>
          <w:rFonts w:ascii="Time New Roma" w:hAnsi="Time New Roma"/>
          <w:b/>
          <w:sz w:val="24"/>
        </w:rPr>
      </w:pPr>
      <w:r>
        <w:rPr>
          <w:rFonts w:hint="eastAsia" w:ascii="Time New Roma" w:hAnsi="Time New Roma"/>
          <w:b/>
          <w:sz w:val="24"/>
        </w:rPr>
        <w:t>4、所有分项价格应按本招标文件的规定要求填写，均为含税价。</w:t>
      </w:r>
    </w:p>
    <w:p>
      <w:pPr>
        <w:spacing w:line="440" w:lineRule="exact"/>
        <w:ind w:firstLine="482" w:firstLineChars="200"/>
        <w:jc w:val="left"/>
        <w:rPr>
          <w:rFonts w:ascii="Time New Roma" w:hAnsi="Time New Roma"/>
          <w:b/>
          <w:szCs w:val="21"/>
        </w:rPr>
      </w:pPr>
      <w:r>
        <w:rPr>
          <w:rFonts w:hint="eastAsia" w:ascii="Time New Roma" w:hAnsi="Time New Roma"/>
          <w:b/>
          <w:sz w:val="24"/>
        </w:rPr>
        <w:t>5、此表应按投标人须知的规定密封标记并与法定代表人授权委托书、被授权代表身份证复印件（以上资料需加盖公章）、投标保证金汇入情况说明及投标保证金汇款底单（复印件加盖公章）一同密封装入唱标信封中，唱标信封单独提交。</w:t>
      </w:r>
    </w:p>
    <w:p>
      <w:pPr>
        <w:spacing w:line="360" w:lineRule="exact"/>
        <w:ind w:firstLine="480" w:firstLineChars="200"/>
        <w:rPr>
          <w:sz w:val="24"/>
        </w:rPr>
      </w:pPr>
    </w:p>
    <w:p>
      <w:pPr>
        <w:spacing w:line="360" w:lineRule="exact"/>
        <w:ind w:firstLine="480" w:firstLineChars="200"/>
        <w:rPr>
          <w:sz w:val="24"/>
        </w:rPr>
      </w:pPr>
    </w:p>
    <w:p>
      <w:pPr>
        <w:spacing w:line="360" w:lineRule="exact"/>
        <w:ind w:firstLine="480" w:firstLineChars="200"/>
        <w:rPr>
          <w:sz w:val="24"/>
        </w:rPr>
      </w:pPr>
    </w:p>
    <w:p>
      <w:pPr>
        <w:spacing w:line="360" w:lineRule="exact"/>
        <w:ind w:firstLine="480" w:firstLineChars="200"/>
        <w:rPr>
          <w:sz w:val="24"/>
        </w:rPr>
      </w:pPr>
      <w:r>
        <w:rPr>
          <w:rFonts w:hint="eastAsia"/>
          <w:sz w:val="24"/>
        </w:rPr>
        <w:t>投标人名称（加盖公章）：</w:t>
      </w:r>
    </w:p>
    <w:p>
      <w:pPr>
        <w:spacing w:line="360" w:lineRule="exact"/>
        <w:ind w:firstLine="480" w:firstLineChars="200"/>
        <w:rPr>
          <w:sz w:val="24"/>
        </w:rPr>
      </w:pPr>
      <w:r>
        <w:rPr>
          <w:rFonts w:hint="eastAsia"/>
          <w:sz w:val="24"/>
        </w:rPr>
        <w:t>投标人法定代表人或受委托人（签名或盖私章）：</w:t>
      </w:r>
    </w:p>
    <w:p>
      <w:pPr>
        <w:spacing w:line="360" w:lineRule="exact"/>
        <w:ind w:firstLine="480" w:firstLineChars="200"/>
        <w:rPr>
          <w:sz w:val="24"/>
        </w:rPr>
      </w:pPr>
      <w:r>
        <w:rPr>
          <w:rFonts w:hint="eastAsia"/>
          <w:sz w:val="24"/>
        </w:rPr>
        <w:t>日      期：</w:t>
      </w:r>
    </w:p>
    <w:p>
      <w:pPr>
        <w:spacing w:before="240" w:beforeLines="100" w:after="240" w:afterLines="100"/>
        <w:jc w:val="center"/>
        <w:outlineLvl w:val="1"/>
        <w:rPr>
          <w:rFonts w:ascii="Time New Roma" w:hAnsi="Time New Roma"/>
          <w:b/>
          <w:bCs/>
          <w:sz w:val="44"/>
          <w:szCs w:val="44"/>
        </w:rPr>
      </w:pPr>
      <w:r>
        <w:rPr>
          <w:sz w:val="24"/>
        </w:rPr>
        <w:br w:type="page"/>
      </w:r>
      <w:bookmarkStart w:id="209" w:name="_Toc316913538"/>
      <w:bookmarkStart w:id="210" w:name="_Toc170229672"/>
      <w:bookmarkStart w:id="211" w:name="_Toc492591292"/>
      <w:bookmarkStart w:id="212" w:name="_Toc92706597"/>
      <w:bookmarkStart w:id="213" w:name="_Toc525803849"/>
      <w:bookmarkStart w:id="214" w:name="_Toc22802586"/>
      <w:bookmarkStart w:id="215" w:name="_Toc504050237"/>
      <w:r>
        <w:rPr>
          <w:rFonts w:hint="eastAsia" w:ascii="Time New Roma" w:hAnsi="Time New Roma"/>
          <w:b/>
          <w:bCs/>
          <w:sz w:val="44"/>
          <w:szCs w:val="44"/>
        </w:rPr>
        <w:t>三、</w:t>
      </w:r>
      <w:bookmarkEnd w:id="209"/>
      <w:r>
        <w:rPr>
          <w:rFonts w:hint="eastAsia" w:ascii="Time New Roma" w:hAnsi="Time New Roma"/>
          <w:b/>
          <w:bCs/>
          <w:sz w:val="44"/>
          <w:szCs w:val="44"/>
        </w:rPr>
        <w:t>报价明细表</w:t>
      </w:r>
      <w:bookmarkEnd w:id="210"/>
      <w:bookmarkEnd w:id="211"/>
      <w:bookmarkEnd w:id="212"/>
      <w:bookmarkEnd w:id="213"/>
      <w:bookmarkEnd w:id="214"/>
      <w:bookmarkEnd w:id="215"/>
    </w:p>
    <w:p>
      <w:pPr>
        <w:spacing w:line="360" w:lineRule="auto"/>
        <w:rPr>
          <w:rFonts w:ascii="Time New Roma" w:hAnsi="Time New Roma"/>
          <w:sz w:val="24"/>
          <w:u w:val="single"/>
        </w:rPr>
      </w:pPr>
      <w:r>
        <w:rPr>
          <w:rFonts w:hint="eastAsia" w:ascii="Time New Roma" w:hAnsi="Time New Roma"/>
          <w:sz w:val="24"/>
        </w:rPr>
        <w:t>项目名称：</w:t>
      </w:r>
      <w:r>
        <w:rPr>
          <w:rFonts w:hint="eastAsia" w:ascii="Time New Roma" w:hAnsi="Time New Roma"/>
          <w:sz w:val="24"/>
          <w:u w:val="single"/>
        </w:rPr>
        <w:t xml:space="preserve">                          </w:t>
      </w:r>
      <w:r>
        <w:rPr>
          <w:rFonts w:hint="eastAsia" w:ascii="Time New Roma" w:hAnsi="Time New Roma"/>
          <w:sz w:val="24"/>
        </w:rPr>
        <w:t xml:space="preserve"> 采购编号：</w:t>
      </w:r>
      <w:r>
        <w:rPr>
          <w:rFonts w:hint="eastAsia" w:ascii="Time New Roma" w:hAnsi="Time New Roma"/>
          <w:sz w:val="24"/>
          <w:u w:val="single"/>
        </w:rPr>
        <w:t xml:space="preserve">                   </w:t>
      </w:r>
    </w:p>
    <w:tbl>
      <w:tblPr>
        <w:tblStyle w:val="47"/>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472"/>
        <w:gridCol w:w="360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b/>
                <w:snapToGrid w:val="0"/>
                <w:kern w:val="0"/>
                <w:sz w:val="24"/>
              </w:rPr>
            </w:pPr>
            <w:r>
              <w:rPr>
                <w:rFonts w:hint="eastAsia" w:ascii="Times New Roman" w:hAnsi="宋体"/>
                <w:b/>
                <w:snapToGrid w:val="0"/>
                <w:kern w:val="0"/>
                <w:sz w:val="24"/>
              </w:rPr>
              <w:t>序号</w:t>
            </w:r>
          </w:p>
        </w:tc>
        <w:tc>
          <w:tcPr>
            <w:tcW w:w="2472"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b/>
                <w:snapToGrid w:val="0"/>
                <w:kern w:val="0"/>
                <w:sz w:val="24"/>
              </w:rPr>
            </w:pPr>
            <w:r>
              <w:rPr>
                <w:rFonts w:hint="eastAsia" w:ascii="Times New Roman" w:hAnsi="宋体"/>
                <w:b/>
                <w:snapToGrid w:val="0"/>
                <w:kern w:val="0"/>
                <w:sz w:val="24"/>
              </w:rPr>
              <w:t>分项内容</w:t>
            </w:r>
          </w:p>
        </w:tc>
        <w:tc>
          <w:tcPr>
            <w:tcW w:w="3600"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b/>
                <w:snapToGrid w:val="0"/>
                <w:kern w:val="0"/>
                <w:sz w:val="24"/>
              </w:rPr>
            </w:pPr>
            <w:r>
              <w:rPr>
                <w:rFonts w:hint="eastAsia" w:ascii="Times New Roman" w:hAnsi="宋体"/>
                <w:b/>
                <w:snapToGrid w:val="0"/>
                <w:kern w:val="0"/>
                <w:sz w:val="24"/>
              </w:rPr>
              <w:t>人民币金额（元）</w:t>
            </w:r>
          </w:p>
        </w:tc>
        <w:tc>
          <w:tcPr>
            <w:tcW w:w="171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b/>
                <w:snapToGrid w:val="0"/>
                <w:kern w:val="0"/>
                <w:sz w:val="24"/>
              </w:rPr>
            </w:pPr>
            <w:r>
              <w:rPr>
                <w:rFonts w:hint="eastAsia" w:ascii="Times New Roman" w:hAnsi="宋体"/>
                <w:b/>
                <w:snapToGrid w:val="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r>
              <w:rPr>
                <w:rFonts w:hint="eastAsia" w:ascii="Times New Roman" w:hAnsi="宋体"/>
                <w:snapToGrid w:val="0"/>
                <w:kern w:val="0"/>
                <w:sz w:val="24"/>
              </w:rPr>
              <w:t>1</w:t>
            </w:r>
          </w:p>
        </w:tc>
        <w:tc>
          <w:tcPr>
            <w:tcW w:w="2472"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c>
          <w:tcPr>
            <w:tcW w:w="171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r>
              <w:rPr>
                <w:rFonts w:hint="eastAsia" w:ascii="Times New Roman" w:hAnsi="宋体"/>
                <w:snapToGrid w:val="0"/>
                <w:kern w:val="0"/>
                <w:sz w:val="24"/>
              </w:rPr>
              <w:t>2</w:t>
            </w:r>
          </w:p>
        </w:tc>
        <w:tc>
          <w:tcPr>
            <w:tcW w:w="2472"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c>
          <w:tcPr>
            <w:tcW w:w="171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r>
              <w:rPr>
                <w:rFonts w:hint="eastAsia" w:ascii="Times New Roman" w:hAnsi="宋体"/>
                <w:snapToGrid w:val="0"/>
                <w:kern w:val="0"/>
                <w:sz w:val="24"/>
              </w:rPr>
              <w:t>3</w:t>
            </w:r>
          </w:p>
        </w:tc>
        <w:tc>
          <w:tcPr>
            <w:tcW w:w="2472"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c>
          <w:tcPr>
            <w:tcW w:w="171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r>
              <w:rPr>
                <w:rFonts w:hint="eastAsia" w:ascii="Times New Roman" w:hAnsi="宋体"/>
                <w:snapToGrid w:val="0"/>
                <w:kern w:val="0"/>
                <w:sz w:val="24"/>
              </w:rPr>
              <w:t>4</w:t>
            </w:r>
          </w:p>
        </w:tc>
        <w:tc>
          <w:tcPr>
            <w:tcW w:w="2472"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c>
          <w:tcPr>
            <w:tcW w:w="171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r>
              <w:rPr>
                <w:rFonts w:hint="eastAsia" w:ascii="Times New Roman" w:hAnsi="宋体"/>
                <w:snapToGrid w:val="0"/>
                <w:kern w:val="0"/>
                <w:sz w:val="24"/>
              </w:rPr>
              <w:t>5</w:t>
            </w:r>
          </w:p>
        </w:tc>
        <w:tc>
          <w:tcPr>
            <w:tcW w:w="2472"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c>
          <w:tcPr>
            <w:tcW w:w="171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r>
              <w:rPr>
                <w:rFonts w:hint="eastAsia" w:ascii="Times New Roman" w:hAnsi="宋体"/>
                <w:snapToGrid w:val="0"/>
                <w:kern w:val="0"/>
                <w:sz w:val="24"/>
              </w:rPr>
              <w:t>……</w:t>
            </w:r>
          </w:p>
        </w:tc>
        <w:tc>
          <w:tcPr>
            <w:tcW w:w="2472"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c>
          <w:tcPr>
            <w:tcW w:w="1716"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8" w:type="dxa"/>
            <w:gridSpan w:val="2"/>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ascii="Times New Roman" w:hAnsi="宋体"/>
                <w:b/>
                <w:snapToGrid w:val="0"/>
                <w:kern w:val="0"/>
                <w:sz w:val="24"/>
              </w:rPr>
            </w:pPr>
            <w:r>
              <w:rPr>
                <w:rFonts w:hint="eastAsia"/>
                <w:b/>
                <w:sz w:val="24"/>
              </w:rPr>
              <w:t>投标总价</w:t>
            </w:r>
          </w:p>
        </w:tc>
        <w:tc>
          <w:tcPr>
            <w:tcW w:w="5316" w:type="dxa"/>
            <w:gridSpan w:val="2"/>
            <w:tcBorders>
              <w:top w:val="single" w:color="auto" w:sz="4" w:space="0"/>
              <w:left w:val="single" w:color="auto" w:sz="4" w:space="0"/>
              <w:bottom w:val="single" w:color="auto" w:sz="4" w:space="0"/>
              <w:right w:val="single" w:color="auto" w:sz="4" w:space="0"/>
            </w:tcBorders>
            <w:vAlign w:val="center"/>
          </w:tcPr>
          <w:p>
            <w:pPr>
              <w:pStyle w:val="24"/>
              <w:adjustRightInd w:val="0"/>
              <w:snapToGrid w:val="0"/>
              <w:rPr>
                <w:rFonts w:ascii="Times New Roman" w:hAnsi="宋体"/>
                <w:b/>
                <w:snapToGrid w:val="0"/>
                <w:kern w:val="0"/>
                <w:sz w:val="24"/>
              </w:rPr>
            </w:pPr>
            <w:r>
              <w:rPr>
                <w:rFonts w:hint="eastAsia" w:ascii="Times New Roman" w:hAnsi="宋体"/>
                <w:b/>
                <w:snapToGrid w:val="0"/>
                <w:kern w:val="0"/>
                <w:sz w:val="24"/>
              </w:rPr>
              <w:t>大写：______________（¥_______________）</w:t>
            </w:r>
          </w:p>
        </w:tc>
      </w:tr>
    </w:tbl>
    <w:p>
      <w:pPr>
        <w:spacing w:line="360" w:lineRule="exact"/>
        <w:jc w:val="left"/>
        <w:rPr>
          <w:rFonts w:ascii="Time New Roma" w:hAnsi="Time New Roma"/>
          <w:sz w:val="24"/>
        </w:rPr>
      </w:pPr>
    </w:p>
    <w:p>
      <w:pPr>
        <w:spacing w:line="360" w:lineRule="exact"/>
        <w:jc w:val="left"/>
        <w:rPr>
          <w:rFonts w:ascii="Time New Roma" w:hAnsi="Time New Roma"/>
          <w:sz w:val="24"/>
        </w:rPr>
      </w:pPr>
      <w:r>
        <w:rPr>
          <w:rFonts w:hint="eastAsia" w:ascii="Time New Roma" w:hAnsi="Time New Roma"/>
          <w:sz w:val="24"/>
        </w:rPr>
        <w:t>注：1、投标人在此表中漏报、少报的费用，均视为已隐含在投标总价中，采购人无须再向投标人支付投标总价之外的任何费用。</w:t>
      </w:r>
    </w:p>
    <w:p>
      <w:pPr>
        <w:pStyle w:val="21"/>
        <w:spacing w:after="0" w:line="360" w:lineRule="exact"/>
        <w:ind w:firstLine="480" w:firstLineChars="200"/>
        <w:jc w:val="left"/>
        <w:rPr>
          <w:rFonts w:ascii="Time New Roma" w:hAnsi="Time New Roma"/>
          <w:sz w:val="24"/>
        </w:rPr>
      </w:pPr>
      <w:r>
        <w:rPr>
          <w:rFonts w:hint="eastAsia" w:ascii="Time New Roma" w:hAnsi="Time New Roma"/>
          <w:sz w:val="24"/>
        </w:rPr>
        <w:t>2、所有分项价格应按本招标文件的规定要求填写，均为含税价。</w:t>
      </w:r>
    </w:p>
    <w:p>
      <w:pPr>
        <w:pStyle w:val="21"/>
        <w:spacing w:after="0" w:line="360" w:lineRule="exact"/>
        <w:ind w:firstLine="480" w:firstLineChars="200"/>
        <w:jc w:val="left"/>
        <w:rPr>
          <w:rFonts w:ascii="Time New Roma" w:hAnsi="Time New Roma"/>
          <w:sz w:val="24"/>
        </w:rPr>
      </w:pPr>
      <w:r>
        <w:rPr>
          <w:rFonts w:hint="eastAsia" w:ascii="Time New Roma" w:hAnsi="Time New Roma"/>
          <w:sz w:val="24"/>
        </w:rPr>
        <w:t>3、</w:t>
      </w:r>
      <w:r>
        <w:rPr>
          <w:rFonts w:hint="eastAsia" w:ascii="Time New Roma" w:hAnsi="Time New Roma"/>
          <w:sz w:val="24"/>
          <w:szCs w:val="24"/>
        </w:rPr>
        <w:t>本表之投标总价应为各分项价格之和</w:t>
      </w:r>
      <w:r>
        <w:rPr>
          <w:rFonts w:hint="eastAsia" w:ascii="Time New Roma" w:hAnsi="Time New Roma"/>
          <w:sz w:val="24"/>
        </w:rPr>
        <w:t>，并须与《开标一览表》之投标总报价相一致。</w:t>
      </w:r>
    </w:p>
    <w:p>
      <w:pPr>
        <w:pStyle w:val="21"/>
        <w:spacing w:after="0" w:line="360" w:lineRule="exact"/>
        <w:ind w:firstLine="480" w:firstLineChars="200"/>
        <w:jc w:val="left"/>
        <w:rPr>
          <w:rFonts w:ascii="Time New Roma" w:hAnsi="Time New Roma"/>
          <w:sz w:val="24"/>
        </w:rPr>
      </w:pPr>
      <w:r>
        <w:rPr>
          <w:rFonts w:hint="eastAsia" w:ascii="Time New Roma" w:hAnsi="Time New Roma"/>
          <w:sz w:val="24"/>
        </w:rPr>
        <w:t>4、</w:t>
      </w:r>
      <w:r>
        <w:rPr>
          <w:rFonts w:hint="eastAsia" w:ascii="Time New Roma" w:hAnsi="Time New Roma"/>
          <w:sz w:val="24"/>
          <w:szCs w:val="24"/>
        </w:rPr>
        <w:t>选购件价项不包括在本报价表内</w:t>
      </w:r>
      <w:r>
        <w:rPr>
          <w:rFonts w:hint="eastAsia" w:ascii="Time New Roma" w:hAnsi="Time New Roma"/>
          <w:sz w:val="24"/>
        </w:rPr>
        <w:t>，应另附表分项单报。</w:t>
      </w:r>
    </w:p>
    <w:p>
      <w:pPr>
        <w:pStyle w:val="21"/>
        <w:spacing w:after="0" w:line="360" w:lineRule="exact"/>
        <w:ind w:firstLine="480" w:firstLineChars="200"/>
        <w:jc w:val="left"/>
        <w:rPr>
          <w:rFonts w:ascii="Time New Roma" w:hAnsi="Time New Roma"/>
          <w:sz w:val="24"/>
          <w:szCs w:val="24"/>
        </w:rPr>
      </w:pPr>
      <w:r>
        <w:rPr>
          <w:rFonts w:hint="eastAsia" w:ascii="Time New Roma" w:hAnsi="Time New Roma"/>
          <w:sz w:val="24"/>
        </w:rPr>
        <w:t>5、属于“小型企业”或“微型企业”或“监狱企业”或“残疾人福利性单位”产品</w:t>
      </w:r>
      <w:r>
        <w:rPr>
          <w:rFonts w:hint="eastAsia" w:ascii="Time New Roma" w:hAnsi="Time New Roma"/>
          <w:b/>
          <w:sz w:val="24"/>
        </w:rPr>
        <w:t>（或服务）的</w:t>
      </w:r>
      <w:r>
        <w:rPr>
          <w:rFonts w:hint="eastAsia" w:ascii="Time New Roma" w:hAnsi="Time New Roma"/>
          <w:sz w:val="24"/>
        </w:rPr>
        <w:t>，需在本表中详细列明。</w:t>
      </w:r>
    </w:p>
    <w:p>
      <w:pPr>
        <w:pStyle w:val="21"/>
        <w:spacing w:after="0" w:line="360" w:lineRule="exact"/>
        <w:ind w:firstLine="480" w:firstLineChars="200"/>
        <w:jc w:val="left"/>
        <w:rPr>
          <w:rFonts w:ascii="Time New Roma" w:hAnsi="Time New Roma"/>
          <w:sz w:val="24"/>
          <w:szCs w:val="24"/>
        </w:rPr>
      </w:pPr>
    </w:p>
    <w:p>
      <w:pPr>
        <w:pStyle w:val="21"/>
        <w:spacing w:after="0" w:line="360" w:lineRule="exact"/>
        <w:ind w:firstLine="480" w:firstLineChars="200"/>
        <w:jc w:val="left"/>
        <w:rPr>
          <w:rFonts w:ascii="Time New Roma" w:hAnsi="Time New Roma"/>
          <w:sz w:val="24"/>
          <w:szCs w:val="24"/>
        </w:rPr>
      </w:pPr>
    </w:p>
    <w:p>
      <w:pPr>
        <w:pStyle w:val="21"/>
        <w:spacing w:after="0" w:line="360" w:lineRule="exact"/>
        <w:ind w:firstLine="480" w:firstLineChars="200"/>
        <w:jc w:val="left"/>
        <w:rPr>
          <w:rFonts w:ascii="Time New Roma" w:hAnsi="Time New Roma"/>
          <w:sz w:val="24"/>
          <w:szCs w:val="24"/>
        </w:rPr>
      </w:pPr>
    </w:p>
    <w:p>
      <w:pPr>
        <w:pStyle w:val="21"/>
        <w:spacing w:after="0" w:line="360" w:lineRule="exact"/>
        <w:ind w:firstLine="480" w:firstLineChars="200"/>
        <w:jc w:val="left"/>
        <w:rPr>
          <w:rFonts w:ascii="Time New Roma" w:hAnsi="Time New Roma"/>
          <w:sz w:val="24"/>
          <w:szCs w:val="24"/>
        </w:rPr>
      </w:pPr>
      <w:r>
        <w:rPr>
          <w:rFonts w:hint="eastAsia" w:ascii="Time New Roma" w:hAnsi="Time New Roma"/>
          <w:sz w:val="24"/>
        </w:rPr>
        <w:t>投标人名称</w:t>
      </w:r>
      <w:r>
        <w:rPr>
          <w:rFonts w:hint="eastAsia" w:ascii="Time New Roma" w:hAnsi="Time New Roma"/>
          <w:sz w:val="24"/>
          <w:szCs w:val="24"/>
        </w:rPr>
        <w:t>（加盖公章）：</w:t>
      </w:r>
    </w:p>
    <w:p>
      <w:pPr>
        <w:pStyle w:val="21"/>
        <w:spacing w:after="0" w:line="360" w:lineRule="exact"/>
        <w:ind w:firstLine="480" w:firstLineChars="200"/>
        <w:jc w:val="left"/>
        <w:rPr>
          <w:rFonts w:ascii="Time New Roma" w:hAnsi="Time New Roma"/>
          <w:sz w:val="24"/>
          <w:szCs w:val="24"/>
        </w:rPr>
      </w:pPr>
      <w:r>
        <w:rPr>
          <w:rFonts w:hint="eastAsia" w:ascii="Time New Roma" w:hAnsi="Time New Roma"/>
          <w:sz w:val="24"/>
          <w:szCs w:val="24"/>
        </w:rPr>
        <w:t xml:space="preserve">投标人法定代表人或受委托人（签名或盖私章）：  </w:t>
      </w:r>
    </w:p>
    <w:p>
      <w:pPr>
        <w:pStyle w:val="21"/>
        <w:spacing w:after="0" w:line="360" w:lineRule="exact"/>
        <w:ind w:firstLine="480" w:firstLineChars="200"/>
        <w:jc w:val="left"/>
        <w:rPr>
          <w:sz w:val="24"/>
        </w:rPr>
      </w:pPr>
      <w:r>
        <w:rPr>
          <w:rFonts w:hint="eastAsia" w:ascii="Time New Roma" w:hAnsi="Time New Roma"/>
          <w:sz w:val="24"/>
        </w:rPr>
        <w:t>日      期：</w:t>
      </w:r>
    </w:p>
    <w:p>
      <w:pPr>
        <w:spacing w:line="360" w:lineRule="exact"/>
        <w:ind w:firstLine="480" w:firstLineChars="200"/>
        <w:rPr>
          <w:sz w:val="24"/>
        </w:rPr>
      </w:pPr>
    </w:p>
    <w:p>
      <w:pPr>
        <w:spacing w:before="240" w:beforeLines="100" w:after="240" w:afterLines="100"/>
        <w:jc w:val="center"/>
        <w:outlineLvl w:val="1"/>
        <w:rPr>
          <w:sz w:val="32"/>
        </w:rPr>
      </w:pPr>
      <w:r>
        <w:rPr>
          <w:rFonts w:hint="eastAsia"/>
          <w:sz w:val="24"/>
        </w:rPr>
        <w:br w:type="page"/>
      </w:r>
      <w:bookmarkStart w:id="216" w:name="_Toc10124670"/>
      <w:bookmarkStart w:id="217" w:name="_Toc170229673"/>
      <w:r>
        <w:rPr>
          <w:rFonts w:hint="eastAsia"/>
          <w:b/>
          <w:bCs/>
          <w:sz w:val="44"/>
          <w:szCs w:val="44"/>
        </w:rPr>
        <w:t>四、承诺书</w:t>
      </w:r>
      <w:bookmarkEnd w:id="216"/>
      <w:bookmarkEnd w:id="217"/>
    </w:p>
    <w:p>
      <w:pPr>
        <w:spacing w:line="360" w:lineRule="exact"/>
        <w:ind w:firstLine="480" w:firstLineChars="200"/>
        <w:rPr>
          <w:sz w:val="24"/>
        </w:rPr>
      </w:pPr>
      <w:bookmarkStart w:id="218" w:name="_Toc316913539"/>
      <w:r>
        <w:rPr>
          <w:rFonts w:hint="eastAsia"/>
          <w:sz w:val="24"/>
        </w:rPr>
        <w:t>我方已完整阅读了</w:t>
      </w:r>
      <w:r>
        <w:rPr>
          <w:rFonts w:hint="eastAsia"/>
          <w:sz w:val="24"/>
          <w:u w:val="single"/>
        </w:rPr>
        <w:t xml:space="preserve">      （项目名称）       </w:t>
      </w:r>
      <w:r>
        <w:rPr>
          <w:rFonts w:hint="eastAsia"/>
          <w:sz w:val="24"/>
        </w:rPr>
        <w:t>（采购编号：</w:t>
      </w:r>
      <w:r>
        <w:rPr>
          <w:rFonts w:hint="eastAsia"/>
          <w:sz w:val="24"/>
          <w:u w:val="single"/>
        </w:rPr>
        <w:t xml:space="preserve">           </w:t>
      </w:r>
      <w:r>
        <w:rPr>
          <w:rFonts w:hint="eastAsia"/>
          <w:sz w:val="24"/>
        </w:rPr>
        <w:t>）招标文件的所有内容（包括澄清，以及所有已提供的参考资料和有关附件），并完全理解上述文件所表达的意思，该项目递交投标文件时间截止后，我方承诺不再对上述文件内容进行询问或质疑。</w:t>
      </w:r>
      <w:bookmarkEnd w:id="218"/>
    </w:p>
    <w:p>
      <w:pPr>
        <w:spacing w:line="360" w:lineRule="exact"/>
        <w:ind w:firstLine="480" w:firstLineChars="200"/>
        <w:rPr>
          <w:sz w:val="24"/>
        </w:rPr>
      </w:pPr>
    </w:p>
    <w:p>
      <w:pPr>
        <w:spacing w:line="360" w:lineRule="exact"/>
        <w:ind w:firstLine="480" w:firstLineChars="200"/>
        <w:rPr>
          <w:sz w:val="24"/>
        </w:rPr>
      </w:pPr>
    </w:p>
    <w:p>
      <w:pPr>
        <w:spacing w:line="360" w:lineRule="exact"/>
        <w:ind w:firstLine="480" w:firstLineChars="200"/>
        <w:rPr>
          <w:sz w:val="24"/>
        </w:rPr>
      </w:pPr>
    </w:p>
    <w:p>
      <w:pPr>
        <w:spacing w:line="360" w:lineRule="exact"/>
        <w:ind w:firstLine="480" w:firstLineChars="200"/>
        <w:rPr>
          <w:sz w:val="24"/>
        </w:rPr>
      </w:pPr>
      <w:r>
        <w:rPr>
          <w:rFonts w:hint="eastAsia"/>
          <w:sz w:val="24"/>
        </w:rPr>
        <w:t>投标人名称（加盖公章）：</w:t>
      </w:r>
    </w:p>
    <w:p>
      <w:pPr>
        <w:spacing w:line="360" w:lineRule="exact"/>
        <w:ind w:firstLine="480" w:firstLineChars="200"/>
        <w:rPr>
          <w:sz w:val="24"/>
        </w:rPr>
      </w:pPr>
      <w:r>
        <w:rPr>
          <w:rFonts w:hint="eastAsia"/>
          <w:sz w:val="24"/>
        </w:rPr>
        <w:t>投标人法定代表人或受委托人（签名或盖私章）：</w:t>
      </w:r>
    </w:p>
    <w:p>
      <w:pPr>
        <w:spacing w:line="360" w:lineRule="exact"/>
        <w:ind w:firstLine="480" w:firstLineChars="200"/>
        <w:jc w:val="left"/>
        <w:rPr>
          <w:sz w:val="24"/>
        </w:rPr>
      </w:pPr>
      <w:r>
        <w:rPr>
          <w:rFonts w:hint="eastAsia"/>
          <w:sz w:val="24"/>
        </w:rPr>
        <w:t>日      期：</w:t>
      </w:r>
    </w:p>
    <w:p>
      <w:pPr>
        <w:spacing w:before="240" w:beforeLines="100" w:after="240" w:afterLines="100"/>
        <w:jc w:val="center"/>
        <w:outlineLvl w:val="1"/>
        <w:rPr>
          <w:sz w:val="24"/>
        </w:rPr>
      </w:pPr>
      <w:r>
        <w:rPr>
          <w:sz w:val="24"/>
        </w:rPr>
        <w:br w:type="page"/>
      </w:r>
      <w:bookmarkStart w:id="219" w:name="_Toc10124671"/>
      <w:bookmarkStart w:id="220" w:name="_Toc170229674"/>
      <w:r>
        <w:rPr>
          <w:rFonts w:hint="eastAsia"/>
          <w:b/>
          <w:bCs/>
          <w:sz w:val="44"/>
          <w:szCs w:val="44"/>
        </w:rPr>
        <w:t>五、投标人资格证明文件</w:t>
      </w:r>
      <w:bookmarkEnd w:id="219"/>
      <w:bookmarkEnd w:id="220"/>
    </w:p>
    <w:p>
      <w:pPr>
        <w:spacing w:line="360" w:lineRule="exact"/>
        <w:ind w:firstLine="480" w:firstLineChars="200"/>
        <w:rPr>
          <w:sz w:val="24"/>
        </w:rPr>
      </w:pPr>
      <w:r>
        <w:rPr>
          <w:rFonts w:hint="eastAsia"/>
          <w:sz w:val="24"/>
        </w:rPr>
        <w:t>1、投标人资格声明（格式详见：附件5-1）；</w:t>
      </w:r>
    </w:p>
    <w:p>
      <w:pPr>
        <w:spacing w:line="360" w:lineRule="exact"/>
        <w:ind w:firstLine="480" w:firstLineChars="200"/>
        <w:rPr>
          <w:sz w:val="24"/>
        </w:rPr>
      </w:pPr>
      <w:r>
        <w:rPr>
          <w:rFonts w:hint="eastAsia"/>
          <w:sz w:val="24"/>
        </w:rPr>
        <w:t>2、投标人基本情况（格式详见：附件5-2）；</w:t>
      </w:r>
    </w:p>
    <w:p>
      <w:pPr>
        <w:spacing w:line="360" w:lineRule="exact"/>
        <w:ind w:firstLine="480" w:firstLineChars="200"/>
        <w:rPr>
          <w:sz w:val="24"/>
        </w:rPr>
      </w:pPr>
      <w:r>
        <w:rPr>
          <w:rFonts w:hint="eastAsia"/>
          <w:sz w:val="24"/>
        </w:rPr>
        <w:t>3、营业执照（“三证合一”或“五证合一”的营业执照则无需提供《税务登记证》及《组织机构代码证》）、税务登记证和组织机构代码证、法定代表人证明书及身份证复印件（格式详见：附件5-3）、法定代表人授权委托书及身份证复印件（格式详见：附件5-4）；</w:t>
      </w:r>
    </w:p>
    <w:p>
      <w:pPr>
        <w:spacing w:line="360" w:lineRule="exact"/>
        <w:ind w:firstLine="480" w:firstLineChars="200"/>
        <w:rPr>
          <w:sz w:val="24"/>
        </w:rPr>
      </w:pPr>
      <w:r>
        <w:rPr>
          <w:rFonts w:hint="eastAsia"/>
          <w:sz w:val="24"/>
        </w:rPr>
        <w:t>4、公司简介、获奖情况和招标文件中要求的有关资质证书等；</w:t>
      </w:r>
    </w:p>
    <w:p>
      <w:pPr>
        <w:spacing w:line="360" w:lineRule="exact"/>
        <w:ind w:firstLine="480" w:firstLineChars="200"/>
        <w:rPr>
          <w:sz w:val="24"/>
        </w:rPr>
      </w:pPr>
      <w:r>
        <w:rPr>
          <w:rFonts w:hint="eastAsia"/>
          <w:sz w:val="24"/>
        </w:rPr>
        <w:t>5、业绩证明材料（格式详见：附件5-5）；</w:t>
      </w:r>
    </w:p>
    <w:p>
      <w:pPr>
        <w:spacing w:line="360" w:lineRule="exact"/>
        <w:ind w:firstLine="482" w:firstLineChars="200"/>
        <w:rPr>
          <w:b/>
          <w:sz w:val="24"/>
          <w:u w:val="single"/>
        </w:rPr>
      </w:pPr>
      <w:r>
        <w:rPr>
          <w:rFonts w:hint="eastAsia"/>
          <w:b/>
          <w:sz w:val="24"/>
          <w:u w:val="single"/>
        </w:rPr>
        <w:t>6、招标文件要求的其他资格证明材料（详见招标文件“投标邀请”中“二、供应商资格要求”）；</w:t>
      </w:r>
    </w:p>
    <w:p>
      <w:pPr>
        <w:spacing w:line="360" w:lineRule="exact"/>
        <w:ind w:firstLine="480" w:firstLineChars="200"/>
        <w:rPr>
          <w:sz w:val="24"/>
        </w:rPr>
      </w:pPr>
      <w:r>
        <w:rPr>
          <w:rFonts w:hint="eastAsia"/>
          <w:sz w:val="24"/>
        </w:rPr>
        <w:t>7、投标人认为需要提交的其他资料。</w:t>
      </w:r>
    </w:p>
    <w:p>
      <w:pPr>
        <w:spacing w:line="360" w:lineRule="exact"/>
        <w:ind w:firstLine="480" w:firstLineChars="200"/>
        <w:rPr>
          <w:sz w:val="24"/>
        </w:rPr>
      </w:pPr>
    </w:p>
    <w:p>
      <w:pPr>
        <w:spacing w:line="360" w:lineRule="exact"/>
        <w:jc w:val="left"/>
        <w:rPr>
          <w:bCs/>
          <w:sz w:val="24"/>
        </w:rPr>
      </w:pPr>
      <w:r>
        <w:rPr>
          <w:rFonts w:hint="eastAsia"/>
          <w:sz w:val="24"/>
        </w:rPr>
        <w:t>注：资格证明文件中属复印件的须加盖投标人公章。</w:t>
      </w:r>
    </w:p>
    <w:p>
      <w:pPr>
        <w:spacing w:before="240" w:beforeLines="100" w:after="240" w:afterLines="100"/>
        <w:rPr>
          <w:sz w:val="24"/>
        </w:rPr>
      </w:pPr>
      <w:r>
        <w:rPr>
          <w:sz w:val="24"/>
        </w:rPr>
        <w:br w:type="page"/>
      </w:r>
      <w:r>
        <w:rPr>
          <w:rFonts w:hint="eastAsia"/>
          <w:sz w:val="24"/>
        </w:rPr>
        <w:t>附件5-1：</w:t>
      </w:r>
    </w:p>
    <w:p>
      <w:pPr>
        <w:spacing w:before="240" w:beforeLines="100" w:after="240" w:afterLines="100"/>
        <w:jc w:val="center"/>
        <w:rPr>
          <w:b/>
          <w:bCs/>
          <w:sz w:val="24"/>
          <w:szCs w:val="32"/>
        </w:rPr>
      </w:pPr>
      <w:r>
        <w:rPr>
          <w:rFonts w:hint="eastAsia"/>
          <w:b/>
          <w:bCs/>
          <w:sz w:val="44"/>
          <w:szCs w:val="44"/>
        </w:rPr>
        <w:t>资格声明</w:t>
      </w:r>
    </w:p>
    <w:p>
      <w:pPr>
        <w:pStyle w:val="24"/>
        <w:spacing w:line="360" w:lineRule="exact"/>
        <w:rPr>
          <w:rFonts w:ascii="Times New Roman" w:hAnsi="Times New Roman"/>
        </w:rPr>
      </w:pPr>
      <w:r>
        <w:rPr>
          <w:rFonts w:hint="eastAsia" w:ascii="Times New Roman" w:hAnsi="Times New Roman"/>
          <w:kern w:val="0"/>
          <w:sz w:val="24"/>
          <w:szCs w:val="24"/>
        </w:rPr>
        <w:t>致：</w:t>
      </w:r>
      <w:r>
        <w:rPr>
          <w:rFonts w:hint="eastAsia" w:ascii="Times New Roman" w:hAnsi="Times New Roman"/>
          <w:sz w:val="24"/>
          <w:szCs w:val="24"/>
        </w:rPr>
        <w:t>广东中元招标代理有限公司</w:t>
      </w:r>
    </w:p>
    <w:p>
      <w:pPr>
        <w:pStyle w:val="24"/>
        <w:spacing w:line="360" w:lineRule="exact"/>
        <w:rPr>
          <w:rFonts w:ascii="Times New Roman" w:hAnsi="Times New Roman"/>
        </w:rPr>
      </w:pPr>
    </w:p>
    <w:p>
      <w:pPr>
        <w:pStyle w:val="21"/>
        <w:wordWrap w:val="0"/>
        <w:spacing w:after="0" w:line="360" w:lineRule="exact"/>
        <w:ind w:firstLine="480" w:firstLineChars="200"/>
        <w:jc w:val="left"/>
        <w:rPr>
          <w:sz w:val="24"/>
          <w:szCs w:val="24"/>
        </w:rPr>
      </w:pPr>
      <w:r>
        <w:rPr>
          <w:rFonts w:hint="eastAsia"/>
          <w:sz w:val="24"/>
          <w:szCs w:val="24"/>
        </w:rPr>
        <w:t>为响应贵单位组织的</w:t>
      </w:r>
      <w:r>
        <w:rPr>
          <w:rFonts w:hint="eastAsia"/>
          <w:sz w:val="24"/>
          <w:u w:val="single"/>
        </w:rPr>
        <w:t xml:space="preserve">      （项目名称）       </w:t>
      </w:r>
      <w:r>
        <w:rPr>
          <w:rFonts w:hint="eastAsia"/>
          <w:sz w:val="24"/>
          <w:szCs w:val="24"/>
        </w:rPr>
        <w:t>的招标（采购编号为：</w:t>
      </w:r>
      <w:r>
        <w:rPr>
          <w:rFonts w:hint="eastAsia"/>
          <w:sz w:val="24"/>
          <w:szCs w:val="24"/>
          <w:u w:val="single"/>
        </w:rPr>
        <w:t xml:space="preserve">            </w:t>
      </w:r>
      <w:r>
        <w:rPr>
          <w:rFonts w:hint="eastAsia"/>
          <w:sz w:val="24"/>
          <w:szCs w:val="24"/>
        </w:rPr>
        <w:t>），我方愿参与投标。提供用户需求书中规定的产品，并证明提交的资格文件和说明是准确、真实、有效的，并已清楚招标文件的要求及有关文件规定。</w:t>
      </w:r>
    </w:p>
    <w:p>
      <w:pPr>
        <w:pStyle w:val="21"/>
        <w:spacing w:after="0" w:line="360" w:lineRule="exact"/>
        <w:ind w:firstLine="480" w:firstLineChars="200"/>
        <w:jc w:val="left"/>
        <w:rPr>
          <w:sz w:val="24"/>
          <w:szCs w:val="24"/>
        </w:rPr>
      </w:pPr>
      <w:r>
        <w:rPr>
          <w:rFonts w:hint="eastAsia"/>
          <w:sz w:val="24"/>
          <w:szCs w:val="24"/>
        </w:rPr>
        <w:t>我公司作为投标人是在法律、财务和运作上独立于采购人、采购代理机构的投标人，提交所有文件和全部说明是真实的和正确的。</w:t>
      </w:r>
    </w:p>
    <w:p>
      <w:pPr>
        <w:pStyle w:val="21"/>
        <w:spacing w:after="0" w:line="360" w:lineRule="exact"/>
        <w:ind w:firstLine="480" w:firstLineChars="200"/>
        <w:jc w:val="left"/>
        <w:rPr>
          <w:sz w:val="24"/>
          <w:szCs w:val="24"/>
        </w:rPr>
      </w:pPr>
      <w:r>
        <w:rPr>
          <w:rFonts w:hint="eastAsia"/>
          <w:sz w:val="24"/>
          <w:szCs w:val="24"/>
        </w:rPr>
        <w:t>我公司理解贵单位可能还要求提供更进一步的资格资料，并愿意应你方的要求提交。</w:t>
      </w:r>
    </w:p>
    <w:p>
      <w:pPr>
        <w:pStyle w:val="21"/>
        <w:spacing w:after="0" w:line="360" w:lineRule="exact"/>
        <w:ind w:firstLine="480" w:firstLineChars="200"/>
        <w:jc w:val="left"/>
        <w:rPr>
          <w:sz w:val="24"/>
          <w:szCs w:val="24"/>
        </w:rPr>
      </w:pPr>
      <w:r>
        <w:rPr>
          <w:rFonts w:hint="eastAsia"/>
          <w:sz w:val="24"/>
        </w:rPr>
        <w:t>我公司参加政府采购活动前三年内，在经营活动中没有重大违法记录</w:t>
      </w:r>
      <w:r>
        <w:rPr>
          <w:rFonts w:hint="eastAsia"/>
          <w:sz w:val="24"/>
          <w:szCs w:val="24"/>
        </w:rPr>
        <w:t>。</w:t>
      </w:r>
    </w:p>
    <w:p>
      <w:pPr>
        <w:spacing w:line="360" w:lineRule="exact"/>
        <w:ind w:firstLine="480" w:firstLineChars="200"/>
        <w:jc w:val="left"/>
        <w:rPr>
          <w:sz w:val="24"/>
        </w:rPr>
      </w:pPr>
      <w:r>
        <w:rPr>
          <w:rFonts w:hint="eastAsia"/>
          <w:sz w:val="24"/>
        </w:rPr>
        <w:t>我公司承诺在本次招标采购活动中，如有违法、违规、弄虚作假行为，所造成的损失、不良后果及法律责任，一律由我公司承担。</w:t>
      </w:r>
    </w:p>
    <w:p>
      <w:pPr>
        <w:spacing w:line="360" w:lineRule="exact"/>
        <w:ind w:firstLine="480" w:firstLineChars="200"/>
        <w:jc w:val="left"/>
        <w:rPr>
          <w:sz w:val="24"/>
        </w:rPr>
      </w:pPr>
    </w:p>
    <w:p>
      <w:pPr>
        <w:spacing w:line="360" w:lineRule="exact"/>
        <w:ind w:firstLine="480" w:firstLineChars="200"/>
        <w:jc w:val="left"/>
        <w:rPr>
          <w:sz w:val="24"/>
        </w:rPr>
      </w:pPr>
    </w:p>
    <w:p>
      <w:pPr>
        <w:pStyle w:val="21"/>
        <w:spacing w:after="0" w:line="360" w:lineRule="exact"/>
        <w:ind w:firstLine="480" w:firstLineChars="200"/>
        <w:jc w:val="left"/>
        <w:rPr>
          <w:sz w:val="24"/>
          <w:szCs w:val="24"/>
        </w:rPr>
      </w:pPr>
      <w:r>
        <w:rPr>
          <w:rFonts w:hint="eastAsia"/>
          <w:sz w:val="24"/>
          <w:szCs w:val="24"/>
        </w:rPr>
        <w:t>投标人名称（加盖公章）：</w:t>
      </w:r>
    </w:p>
    <w:p>
      <w:pPr>
        <w:pStyle w:val="21"/>
        <w:spacing w:after="0" w:line="360" w:lineRule="exact"/>
        <w:ind w:firstLine="480" w:firstLineChars="200"/>
        <w:jc w:val="left"/>
        <w:rPr>
          <w:sz w:val="24"/>
          <w:szCs w:val="24"/>
        </w:rPr>
      </w:pPr>
      <w:r>
        <w:rPr>
          <w:rFonts w:hint="eastAsia"/>
          <w:sz w:val="24"/>
          <w:szCs w:val="24"/>
        </w:rPr>
        <w:t>投标人法定代表人或受委托人（签名或盖私章）：</w:t>
      </w:r>
    </w:p>
    <w:p>
      <w:pPr>
        <w:spacing w:line="360" w:lineRule="exact"/>
        <w:ind w:firstLine="480" w:firstLineChars="200"/>
        <w:rPr>
          <w:sz w:val="24"/>
        </w:rPr>
      </w:pPr>
      <w:r>
        <w:rPr>
          <w:rFonts w:hint="eastAsia"/>
          <w:sz w:val="24"/>
        </w:rPr>
        <w:t>日      期：</w:t>
      </w:r>
    </w:p>
    <w:p>
      <w:pPr>
        <w:spacing w:before="240" w:beforeLines="100" w:after="240" w:afterLines="100"/>
        <w:rPr>
          <w:sz w:val="24"/>
        </w:rPr>
      </w:pPr>
      <w:r>
        <w:rPr>
          <w:sz w:val="24"/>
        </w:rPr>
        <w:br w:type="page"/>
      </w:r>
      <w:r>
        <w:rPr>
          <w:rFonts w:hint="eastAsia"/>
          <w:sz w:val="24"/>
        </w:rPr>
        <w:t>附件5-2：</w:t>
      </w:r>
    </w:p>
    <w:p>
      <w:pPr>
        <w:spacing w:before="240" w:beforeLines="100" w:after="240" w:afterLines="100"/>
        <w:jc w:val="center"/>
        <w:rPr>
          <w:bCs/>
        </w:rPr>
      </w:pPr>
      <w:bookmarkStart w:id="221" w:name="_Toc318189016"/>
      <w:bookmarkStart w:id="222" w:name="_Toc234656243"/>
      <w:bookmarkStart w:id="223" w:name="_Toc251236136"/>
      <w:r>
        <w:rPr>
          <w:rFonts w:hint="eastAsia"/>
          <w:b/>
          <w:bCs/>
          <w:sz w:val="44"/>
          <w:szCs w:val="44"/>
        </w:rPr>
        <w:t>投标人基本情况</w:t>
      </w:r>
      <w:bookmarkEnd w:id="221"/>
      <w:bookmarkEnd w:id="222"/>
      <w:bookmarkEnd w:id="223"/>
    </w:p>
    <w:tbl>
      <w:tblPr>
        <w:tblStyle w:val="4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2279"/>
        <w:gridCol w:w="1081"/>
        <w:gridCol w:w="108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968" w:type="dxa"/>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投标人全称</w:t>
            </w:r>
          </w:p>
        </w:tc>
        <w:tc>
          <w:tcPr>
            <w:tcW w:w="2279" w:type="dxa"/>
            <w:vAlign w:val="center"/>
          </w:tcPr>
          <w:p>
            <w:pPr>
              <w:pStyle w:val="24"/>
              <w:adjustRightInd w:val="0"/>
              <w:snapToGrid w:val="0"/>
              <w:jc w:val="center"/>
              <w:rPr>
                <w:rFonts w:ascii="Times New Roman" w:hAnsi="Times New Roman"/>
                <w:snapToGrid w:val="0"/>
                <w:kern w:val="0"/>
                <w:sz w:val="24"/>
                <w:szCs w:val="24"/>
              </w:rPr>
            </w:pPr>
          </w:p>
        </w:tc>
        <w:tc>
          <w:tcPr>
            <w:tcW w:w="2161" w:type="dxa"/>
            <w:gridSpan w:val="2"/>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企业性质</w:t>
            </w:r>
          </w:p>
        </w:tc>
        <w:tc>
          <w:tcPr>
            <w:tcW w:w="2120" w:type="dxa"/>
            <w:vAlign w:val="center"/>
          </w:tcPr>
          <w:p>
            <w:pPr>
              <w:pStyle w:val="24"/>
              <w:adjustRightInd w:val="0"/>
              <w:snapToGrid w:val="0"/>
              <w:jc w:val="center"/>
              <w:rPr>
                <w:rFonts w:ascii="Times New Roman" w:hAnsi="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968" w:type="dxa"/>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地址</w:t>
            </w:r>
          </w:p>
        </w:tc>
        <w:tc>
          <w:tcPr>
            <w:tcW w:w="2279" w:type="dxa"/>
            <w:vAlign w:val="center"/>
          </w:tcPr>
          <w:p>
            <w:pPr>
              <w:pStyle w:val="24"/>
              <w:adjustRightInd w:val="0"/>
              <w:snapToGrid w:val="0"/>
              <w:jc w:val="center"/>
              <w:rPr>
                <w:rFonts w:ascii="Times New Roman" w:hAnsi="Times New Roman"/>
                <w:snapToGrid w:val="0"/>
                <w:kern w:val="0"/>
                <w:sz w:val="24"/>
                <w:szCs w:val="24"/>
              </w:rPr>
            </w:pPr>
          </w:p>
        </w:tc>
        <w:tc>
          <w:tcPr>
            <w:tcW w:w="2161" w:type="dxa"/>
            <w:gridSpan w:val="2"/>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电话/传真</w:t>
            </w:r>
          </w:p>
        </w:tc>
        <w:tc>
          <w:tcPr>
            <w:tcW w:w="2120" w:type="dxa"/>
            <w:vAlign w:val="center"/>
          </w:tcPr>
          <w:p>
            <w:pPr>
              <w:pStyle w:val="24"/>
              <w:adjustRightInd w:val="0"/>
              <w:snapToGrid w:val="0"/>
              <w:jc w:val="center"/>
              <w:rPr>
                <w:rFonts w:ascii="Times New Roman" w:hAnsi="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968" w:type="dxa"/>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成立年月</w:t>
            </w:r>
          </w:p>
        </w:tc>
        <w:tc>
          <w:tcPr>
            <w:tcW w:w="2279" w:type="dxa"/>
            <w:vAlign w:val="center"/>
          </w:tcPr>
          <w:p>
            <w:pPr>
              <w:pStyle w:val="24"/>
              <w:adjustRightInd w:val="0"/>
              <w:snapToGrid w:val="0"/>
              <w:jc w:val="center"/>
              <w:rPr>
                <w:rFonts w:ascii="Times New Roman" w:hAnsi="Times New Roman"/>
                <w:snapToGrid w:val="0"/>
                <w:kern w:val="0"/>
                <w:sz w:val="24"/>
                <w:szCs w:val="24"/>
              </w:rPr>
            </w:pPr>
          </w:p>
        </w:tc>
        <w:tc>
          <w:tcPr>
            <w:tcW w:w="2161" w:type="dxa"/>
            <w:gridSpan w:val="2"/>
            <w:vMerge w:val="restart"/>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经营范围</w:t>
            </w:r>
          </w:p>
        </w:tc>
        <w:tc>
          <w:tcPr>
            <w:tcW w:w="2120" w:type="dxa"/>
            <w:vMerge w:val="restart"/>
            <w:vAlign w:val="center"/>
          </w:tcPr>
          <w:p>
            <w:pPr>
              <w:pStyle w:val="24"/>
              <w:adjustRightInd w:val="0"/>
              <w:snapToGrid w:val="0"/>
              <w:jc w:val="center"/>
              <w:rPr>
                <w:rFonts w:ascii="Times New Roman" w:hAnsi="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1968" w:type="dxa"/>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营业执照号码（统一社会信用代码）</w:t>
            </w:r>
          </w:p>
        </w:tc>
        <w:tc>
          <w:tcPr>
            <w:tcW w:w="2279" w:type="dxa"/>
            <w:vAlign w:val="center"/>
          </w:tcPr>
          <w:p>
            <w:pPr>
              <w:pStyle w:val="24"/>
              <w:adjustRightInd w:val="0"/>
              <w:snapToGrid w:val="0"/>
              <w:jc w:val="center"/>
              <w:rPr>
                <w:rFonts w:ascii="Times New Roman" w:hAnsi="Times New Roman"/>
                <w:snapToGrid w:val="0"/>
                <w:kern w:val="0"/>
                <w:sz w:val="24"/>
                <w:szCs w:val="24"/>
              </w:rPr>
            </w:pPr>
          </w:p>
        </w:tc>
        <w:tc>
          <w:tcPr>
            <w:tcW w:w="2161" w:type="dxa"/>
            <w:gridSpan w:val="2"/>
            <w:vMerge w:val="continue"/>
            <w:vAlign w:val="center"/>
          </w:tcPr>
          <w:p>
            <w:pPr>
              <w:pStyle w:val="24"/>
              <w:adjustRightInd w:val="0"/>
              <w:snapToGrid w:val="0"/>
              <w:jc w:val="center"/>
              <w:rPr>
                <w:rFonts w:ascii="Times New Roman" w:hAnsi="Times New Roman"/>
                <w:snapToGrid w:val="0"/>
                <w:kern w:val="0"/>
                <w:sz w:val="24"/>
                <w:szCs w:val="24"/>
              </w:rPr>
            </w:pPr>
          </w:p>
        </w:tc>
        <w:tc>
          <w:tcPr>
            <w:tcW w:w="2120" w:type="dxa"/>
            <w:vMerge w:val="continue"/>
            <w:vAlign w:val="center"/>
          </w:tcPr>
          <w:p>
            <w:pPr>
              <w:pStyle w:val="24"/>
              <w:adjustRightInd w:val="0"/>
              <w:snapToGrid w:val="0"/>
              <w:jc w:val="center"/>
              <w:rPr>
                <w:rFonts w:ascii="Times New Roman" w:hAnsi="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968" w:type="dxa"/>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注册资金</w:t>
            </w:r>
          </w:p>
        </w:tc>
        <w:tc>
          <w:tcPr>
            <w:tcW w:w="2279" w:type="dxa"/>
            <w:vAlign w:val="center"/>
          </w:tcPr>
          <w:p>
            <w:pPr>
              <w:pStyle w:val="24"/>
              <w:adjustRightInd w:val="0"/>
              <w:snapToGrid w:val="0"/>
              <w:jc w:val="center"/>
              <w:rPr>
                <w:rFonts w:ascii="Times New Roman" w:hAnsi="Times New Roman"/>
                <w:snapToGrid w:val="0"/>
                <w:kern w:val="0"/>
                <w:sz w:val="24"/>
                <w:szCs w:val="24"/>
              </w:rPr>
            </w:pPr>
          </w:p>
        </w:tc>
        <w:tc>
          <w:tcPr>
            <w:tcW w:w="2161" w:type="dxa"/>
            <w:gridSpan w:val="2"/>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职工人数</w:t>
            </w:r>
          </w:p>
        </w:tc>
        <w:tc>
          <w:tcPr>
            <w:tcW w:w="2120" w:type="dxa"/>
            <w:vAlign w:val="center"/>
          </w:tcPr>
          <w:p>
            <w:pPr>
              <w:pStyle w:val="24"/>
              <w:adjustRightInd w:val="0"/>
              <w:snapToGrid w:val="0"/>
              <w:jc w:val="center"/>
              <w:rPr>
                <w:rFonts w:ascii="Times New Roman" w:hAnsi="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968" w:type="dxa"/>
            <w:vMerge w:val="restart"/>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公司所获证书</w:t>
            </w:r>
          </w:p>
        </w:tc>
        <w:tc>
          <w:tcPr>
            <w:tcW w:w="2279" w:type="dxa"/>
            <w:vAlign w:val="center"/>
          </w:tcPr>
          <w:p>
            <w:pPr>
              <w:pStyle w:val="24"/>
              <w:adjustRightInd w:val="0"/>
              <w:snapToGrid w:val="0"/>
              <w:jc w:val="center"/>
              <w:rPr>
                <w:rFonts w:ascii="Times New Roman" w:hAnsi="Times New Roman"/>
                <w:snapToGrid w:val="0"/>
                <w:kern w:val="0"/>
                <w:sz w:val="24"/>
                <w:szCs w:val="24"/>
              </w:rPr>
            </w:pPr>
          </w:p>
        </w:tc>
        <w:tc>
          <w:tcPr>
            <w:tcW w:w="1081" w:type="dxa"/>
            <w:vMerge w:val="restart"/>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其</w:t>
            </w:r>
          </w:p>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中</w:t>
            </w:r>
          </w:p>
        </w:tc>
        <w:tc>
          <w:tcPr>
            <w:tcW w:w="1080" w:type="dxa"/>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管理人员</w:t>
            </w:r>
          </w:p>
        </w:tc>
        <w:tc>
          <w:tcPr>
            <w:tcW w:w="2120" w:type="dxa"/>
            <w:vAlign w:val="center"/>
          </w:tcPr>
          <w:p>
            <w:pPr>
              <w:pStyle w:val="24"/>
              <w:adjustRightInd w:val="0"/>
              <w:snapToGrid w:val="0"/>
              <w:jc w:val="center"/>
              <w:rPr>
                <w:rFonts w:ascii="Times New Roman" w:hAnsi="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968" w:type="dxa"/>
            <w:vMerge w:val="continue"/>
            <w:vAlign w:val="center"/>
          </w:tcPr>
          <w:p>
            <w:pPr>
              <w:pStyle w:val="24"/>
              <w:adjustRightInd w:val="0"/>
              <w:snapToGrid w:val="0"/>
              <w:jc w:val="center"/>
              <w:rPr>
                <w:rFonts w:ascii="Times New Roman" w:hAnsi="Times New Roman"/>
                <w:snapToGrid w:val="0"/>
                <w:kern w:val="0"/>
                <w:sz w:val="24"/>
                <w:szCs w:val="24"/>
              </w:rPr>
            </w:pPr>
          </w:p>
        </w:tc>
        <w:tc>
          <w:tcPr>
            <w:tcW w:w="2279" w:type="dxa"/>
            <w:vAlign w:val="center"/>
          </w:tcPr>
          <w:p>
            <w:pPr>
              <w:pStyle w:val="24"/>
              <w:adjustRightInd w:val="0"/>
              <w:snapToGrid w:val="0"/>
              <w:jc w:val="center"/>
              <w:rPr>
                <w:rFonts w:ascii="Times New Roman" w:hAnsi="Times New Roman"/>
                <w:snapToGrid w:val="0"/>
                <w:kern w:val="0"/>
                <w:sz w:val="24"/>
                <w:szCs w:val="24"/>
              </w:rPr>
            </w:pPr>
          </w:p>
        </w:tc>
        <w:tc>
          <w:tcPr>
            <w:tcW w:w="1081" w:type="dxa"/>
            <w:vMerge w:val="continue"/>
            <w:vAlign w:val="center"/>
          </w:tcPr>
          <w:p>
            <w:pPr>
              <w:pStyle w:val="24"/>
              <w:adjustRightInd w:val="0"/>
              <w:snapToGrid w:val="0"/>
              <w:jc w:val="center"/>
              <w:rPr>
                <w:rFonts w:ascii="Times New Roman" w:hAnsi="Times New Roman"/>
                <w:snapToGrid w:val="0"/>
                <w:kern w:val="0"/>
                <w:sz w:val="24"/>
                <w:szCs w:val="24"/>
              </w:rPr>
            </w:pPr>
          </w:p>
        </w:tc>
        <w:tc>
          <w:tcPr>
            <w:tcW w:w="1080" w:type="dxa"/>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技术人员</w:t>
            </w:r>
          </w:p>
        </w:tc>
        <w:tc>
          <w:tcPr>
            <w:tcW w:w="2120" w:type="dxa"/>
            <w:vAlign w:val="center"/>
          </w:tcPr>
          <w:p>
            <w:pPr>
              <w:pStyle w:val="24"/>
              <w:adjustRightInd w:val="0"/>
              <w:snapToGrid w:val="0"/>
              <w:jc w:val="center"/>
              <w:rPr>
                <w:rFonts w:ascii="Times New Roman" w:hAnsi="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968" w:type="dxa"/>
            <w:vMerge w:val="continue"/>
            <w:vAlign w:val="center"/>
          </w:tcPr>
          <w:p>
            <w:pPr>
              <w:pStyle w:val="24"/>
              <w:adjustRightInd w:val="0"/>
              <w:snapToGrid w:val="0"/>
              <w:jc w:val="center"/>
              <w:rPr>
                <w:rFonts w:ascii="Times New Roman" w:hAnsi="Times New Roman"/>
                <w:snapToGrid w:val="0"/>
                <w:kern w:val="0"/>
                <w:sz w:val="24"/>
                <w:szCs w:val="24"/>
              </w:rPr>
            </w:pPr>
          </w:p>
        </w:tc>
        <w:tc>
          <w:tcPr>
            <w:tcW w:w="2279" w:type="dxa"/>
            <w:vAlign w:val="center"/>
          </w:tcPr>
          <w:p>
            <w:pPr>
              <w:pStyle w:val="24"/>
              <w:adjustRightInd w:val="0"/>
              <w:snapToGrid w:val="0"/>
              <w:jc w:val="center"/>
              <w:rPr>
                <w:rFonts w:ascii="Times New Roman" w:hAnsi="Times New Roman"/>
                <w:snapToGrid w:val="0"/>
                <w:kern w:val="0"/>
                <w:sz w:val="24"/>
                <w:szCs w:val="24"/>
              </w:rPr>
            </w:pPr>
          </w:p>
        </w:tc>
        <w:tc>
          <w:tcPr>
            <w:tcW w:w="1081" w:type="dxa"/>
            <w:vMerge w:val="continue"/>
            <w:vAlign w:val="center"/>
          </w:tcPr>
          <w:p>
            <w:pPr>
              <w:pStyle w:val="24"/>
              <w:adjustRightInd w:val="0"/>
              <w:snapToGrid w:val="0"/>
              <w:jc w:val="center"/>
              <w:rPr>
                <w:rFonts w:ascii="Times New Roman" w:hAnsi="Times New Roman"/>
                <w:snapToGrid w:val="0"/>
                <w:kern w:val="0"/>
                <w:sz w:val="24"/>
                <w:szCs w:val="24"/>
              </w:rPr>
            </w:pPr>
          </w:p>
        </w:tc>
        <w:tc>
          <w:tcPr>
            <w:tcW w:w="1080" w:type="dxa"/>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工人</w:t>
            </w:r>
          </w:p>
        </w:tc>
        <w:tc>
          <w:tcPr>
            <w:tcW w:w="2120" w:type="dxa"/>
            <w:vAlign w:val="center"/>
          </w:tcPr>
          <w:p>
            <w:pPr>
              <w:pStyle w:val="24"/>
              <w:adjustRightInd w:val="0"/>
              <w:snapToGrid w:val="0"/>
              <w:jc w:val="center"/>
              <w:rPr>
                <w:rFonts w:ascii="Times New Roman" w:hAnsi="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1968" w:type="dxa"/>
            <w:vMerge w:val="restart"/>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固定资产</w:t>
            </w:r>
          </w:p>
        </w:tc>
        <w:tc>
          <w:tcPr>
            <w:tcW w:w="2279" w:type="dxa"/>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原值         万元</w:t>
            </w:r>
          </w:p>
        </w:tc>
        <w:tc>
          <w:tcPr>
            <w:tcW w:w="2161" w:type="dxa"/>
            <w:gridSpan w:val="2"/>
            <w:vMerge w:val="restart"/>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流动资金</w:t>
            </w:r>
          </w:p>
        </w:tc>
        <w:tc>
          <w:tcPr>
            <w:tcW w:w="2120" w:type="dxa"/>
            <w:vMerge w:val="restart"/>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1968" w:type="dxa"/>
            <w:vMerge w:val="continue"/>
            <w:vAlign w:val="center"/>
          </w:tcPr>
          <w:p>
            <w:pPr>
              <w:pStyle w:val="24"/>
              <w:adjustRightInd w:val="0"/>
              <w:snapToGrid w:val="0"/>
              <w:jc w:val="center"/>
              <w:rPr>
                <w:rFonts w:ascii="Times New Roman" w:hAnsi="Times New Roman"/>
                <w:snapToGrid w:val="0"/>
                <w:kern w:val="0"/>
                <w:sz w:val="24"/>
                <w:szCs w:val="24"/>
              </w:rPr>
            </w:pPr>
          </w:p>
        </w:tc>
        <w:tc>
          <w:tcPr>
            <w:tcW w:w="2279" w:type="dxa"/>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净值         万元</w:t>
            </w:r>
          </w:p>
        </w:tc>
        <w:tc>
          <w:tcPr>
            <w:tcW w:w="2161" w:type="dxa"/>
            <w:gridSpan w:val="2"/>
            <w:vMerge w:val="continue"/>
            <w:vAlign w:val="center"/>
          </w:tcPr>
          <w:p>
            <w:pPr>
              <w:pStyle w:val="24"/>
              <w:adjustRightInd w:val="0"/>
              <w:snapToGrid w:val="0"/>
              <w:jc w:val="center"/>
              <w:rPr>
                <w:rFonts w:ascii="Times New Roman" w:hAnsi="Times New Roman"/>
                <w:snapToGrid w:val="0"/>
                <w:kern w:val="0"/>
                <w:sz w:val="24"/>
                <w:szCs w:val="24"/>
              </w:rPr>
            </w:pPr>
          </w:p>
        </w:tc>
        <w:tc>
          <w:tcPr>
            <w:tcW w:w="2120" w:type="dxa"/>
            <w:vMerge w:val="continue"/>
            <w:vAlign w:val="center"/>
          </w:tcPr>
          <w:p>
            <w:pPr>
              <w:pStyle w:val="24"/>
              <w:adjustRightInd w:val="0"/>
              <w:snapToGrid w:val="0"/>
              <w:jc w:val="center"/>
              <w:rPr>
                <w:rFonts w:ascii="Times New Roman" w:hAnsi="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1968" w:type="dxa"/>
            <w:vMerge w:val="restart"/>
            <w:tcBorders>
              <w:bottom w:val="single" w:color="auto" w:sz="4" w:space="0"/>
            </w:tcBorders>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上年度主要经济指标</w:t>
            </w:r>
          </w:p>
        </w:tc>
        <w:tc>
          <w:tcPr>
            <w:tcW w:w="6560" w:type="dxa"/>
            <w:gridSpan w:val="4"/>
            <w:tcBorders>
              <w:bottom w:val="single" w:color="auto" w:sz="4" w:space="0"/>
            </w:tcBorders>
            <w:vAlign w:val="center"/>
          </w:tcPr>
          <w:p>
            <w:pPr>
              <w:pStyle w:val="24"/>
              <w:adjustRightInd w:val="0"/>
              <w:snapToGrid w:val="0"/>
              <w:rPr>
                <w:rFonts w:ascii="Times New Roman" w:hAnsi="Times New Roman"/>
                <w:snapToGrid w:val="0"/>
                <w:kern w:val="0"/>
                <w:sz w:val="24"/>
                <w:szCs w:val="24"/>
              </w:rPr>
            </w:pPr>
            <w:r>
              <w:rPr>
                <w:rFonts w:hint="eastAsia" w:ascii="Times New Roman" w:hAnsi="Times New Roman"/>
                <w:snapToGrid w:val="0"/>
                <w:kern w:val="0"/>
                <w:sz w:val="24"/>
                <w:szCs w:val="24"/>
              </w:rPr>
              <w:t>总产值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1968" w:type="dxa"/>
            <w:vMerge w:val="continue"/>
            <w:vAlign w:val="center"/>
          </w:tcPr>
          <w:p>
            <w:pPr>
              <w:pStyle w:val="24"/>
              <w:adjustRightInd w:val="0"/>
              <w:snapToGrid w:val="0"/>
              <w:jc w:val="center"/>
              <w:rPr>
                <w:rFonts w:ascii="Times New Roman" w:hAnsi="Times New Roman"/>
                <w:snapToGrid w:val="0"/>
                <w:kern w:val="0"/>
                <w:sz w:val="24"/>
                <w:szCs w:val="24"/>
              </w:rPr>
            </w:pPr>
          </w:p>
        </w:tc>
        <w:tc>
          <w:tcPr>
            <w:tcW w:w="6560" w:type="dxa"/>
            <w:gridSpan w:val="4"/>
            <w:vAlign w:val="center"/>
          </w:tcPr>
          <w:p>
            <w:pPr>
              <w:pStyle w:val="24"/>
              <w:adjustRightInd w:val="0"/>
              <w:snapToGrid w:val="0"/>
              <w:rPr>
                <w:rFonts w:ascii="Times New Roman" w:hAnsi="Times New Roman"/>
                <w:snapToGrid w:val="0"/>
                <w:kern w:val="0"/>
                <w:sz w:val="24"/>
                <w:szCs w:val="24"/>
              </w:rPr>
            </w:pPr>
            <w:r>
              <w:rPr>
                <w:rFonts w:hint="eastAsia" w:ascii="Times New Roman" w:hAnsi="Times New Roman"/>
                <w:snapToGrid w:val="0"/>
                <w:kern w:val="0"/>
                <w:sz w:val="24"/>
                <w:szCs w:val="24"/>
              </w:rPr>
              <w:t>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jc w:val="center"/>
        </w:trPr>
        <w:tc>
          <w:tcPr>
            <w:tcW w:w="1968" w:type="dxa"/>
            <w:vAlign w:val="center"/>
          </w:tcPr>
          <w:p>
            <w:pPr>
              <w:pStyle w:val="24"/>
              <w:adjustRightInd w:val="0"/>
              <w:snapToGrid w:val="0"/>
              <w:jc w:val="center"/>
              <w:rPr>
                <w:rFonts w:ascii="Times New Roman" w:hAnsi="Times New Roman"/>
                <w:snapToGrid w:val="0"/>
                <w:kern w:val="0"/>
                <w:sz w:val="24"/>
                <w:szCs w:val="24"/>
              </w:rPr>
            </w:pPr>
            <w:r>
              <w:rPr>
                <w:rFonts w:hint="eastAsia" w:ascii="Times New Roman" w:hAnsi="Times New Roman"/>
                <w:snapToGrid w:val="0"/>
                <w:kern w:val="0"/>
                <w:sz w:val="24"/>
                <w:szCs w:val="24"/>
              </w:rPr>
              <w:t>企业简介</w:t>
            </w:r>
          </w:p>
        </w:tc>
        <w:tc>
          <w:tcPr>
            <w:tcW w:w="6560" w:type="dxa"/>
            <w:gridSpan w:val="4"/>
            <w:vAlign w:val="center"/>
          </w:tcPr>
          <w:p>
            <w:pPr>
              <w:rPr>
                <w:sz w:val="24"/>
              </w:rPr>
            </w:pPr>
            <w:r>
              <w:rPr>
                <w:rFonts w:hint="eastAsia"/>
                <w:sz w:val="24"/>
              </w:rPr>
              <w:t>请在简介中说明但不限于以下内容：</w:t>
            </w:r>
          </w:p>
          <w:p>
            <w:pPr>
              <w:numPr>
                <w:ilvl w:val="0"/>
                <w:numId w:val="20"/>
              </w:numPr>
              <w:ind w:left="372" w:hanging="360"/>
              <w:rPr>
                <w:i/>
                <w:sz w:val="24"/>
              </w:rPr>
            </w:pPr>
            <w:r>
              <w:rPr>
                <w:rFonts w:hint="eastAsia"/>
                <w:i/>
                <w:sz w:val="24"/>
              </w:rPr>
              <w:t>是否具有健全稳定的组织结构；</w:t>
            </w:r>
          </w:p>
          <w:p>
            <w:pPr>
              <w:numPr>
                <w:ilvl w:val="0"/>
                <w:numId w:val="20"/>
              </w:numPr>
              <w:ind w:left="372" w:hanging="360"/>
              <w:rPr>
                <w:i/>
                <w:sz w:val="24"/>
              </w:rPr>
            </w:pPr>
            <w:r>
              <w:rPr>
                <w:rFonts w:hint="eastAsia"/>
                <w:i/>
                <w:sz w:val="24"/>
              </w:rPr>
              <w:t>是否已经具备履行合同所需的人力、财力、物力和服务等相关能力；</w:t>
            </w:r>
          </w:p>
          <w:p>
            <w:pPr>
              <w:numPr>
                <w:ilvl w:val="0"/>
                <w:numId w:val="20"/>
              </w:numPr>
              <w:ind w:left="372" w:hanging="360"/>
              <w:rPr>
                <w:sz w:val="24"/>
              </w:rPr>
            </w:pPr>
            <w:r>
              <w:rPr>
                <w:rFonts w:hint="eastAsia"/>
                <w:i/>
                <w:sz w:val="24"/>
              </w:rPr>
              <w:t>是否有较完善的质量保证体系和售后服务体系。</w:t>
            </w:r>
          </w:p>
        </w:tc>
      </w:tr>
    </w:tbl>
    <w:p>
      <w:pPr>
        <w:ind w:firstLine="480" w:firstLineChars="200"/>
        <w:jc w:val="left"/>
        <w:rPr>
          <w:sz w:val="24"/>
        </w:rPr>
      </w:pPr>
    </w:p>
    <w:p>
      <w:pPr>
        <w:ind w:firstLine="480" w:firstLineChars="200"/>
        <w:jc w:val="left"/>
        <w:rPr>
          <w:sz w:val="24"/>
        </w:rPr>
      </w:pPr>
    </w:p>
    <w:p>
      <w:pPr>
        <w:pStyle w:val="21"/>
        <w:spacing w:after="0" w:line="360" w:lineRule="exact"/>
        <w:ind w:firstLine="480" w:firstLineChars="200"/>
        <w:jc w:val="left"/>
        <w:rPr>
          <w:sz w:val="24"/>
          <w:szCs w:val="24"/>
        </w:rPr>
      </w:pPr>
      <w:r>
        <w:rPr>
          <w:rFonts w:hint="eastAsia"/>
          <w:sz w:val="24"/>
          <w:szCs w:val="24"/>
        </w:rPr>
        <w:t>投标人名称（加盖公章）：</w:t>
      </w:r>
    </w:p>
    <w:p>
      <w:pPr>
        <w:pStyle w:val="21"/>
        <w:spacing w:after="0" w:line="360" w:lineRule="exact"/>
        <w:ind w:firstLine="480" w:firstLineChars="200"/>
        <w:jc w:val="left"/>
        <w:rPr>
          <w:sz w:val="24"/>
          <w:szCs w:val="24"/>
        </w:rPr>
      </w:pPr>
      <w:r>
        <w:rPr>
          <w:rFonts w:hint="eastAsia"/>
          <w:sz w:val="24"/>
          <w:szCs w:val="24"/>
        </w:rPr>
        <w:t>投标人法定代表人或受委托人（签名或盖私章）：</w:t>
      </w:r>
    </w:p>
    <w:p>
      <w:pPr>
        <w:spacing w:line="360" w:lineRule="exact"/>
        <w:ind w:firstLine="480" w:firstLineChars="200"/>
        <w:rPr>
          <w:sz w:val="24"/>
        </w:rPr>
      </w:pPr>
      <w:r>
        <w:rPr>
          <w:rFonts w:hint="eastAsia"/>
          <w:sz w:val="24"/>
        </w:rPr>
        <w:t>日      期：</w:t>
      </w:r>
    </w:p>
    <w:p>
      <w:pPr>
        <w:spacing w:before="240" w:beforeLines="100" w:after="240" w:afterLines="100"/>
        <w:rPr>
          <w:sz w:val="24"/>
        </w:rPr>
      </w:pPr>
      <w:r>
        <w:rPr>
          <w:sz w:val="24"/>
        </w:rPr>
        <w:br w:type="page"/>
      </w:r>
      <w:r>
        <w:rPr>
          <w:rFonts w:hint="eastAsia"/>
          <w:sz w:val="24"/>
        </w:rPr>
        <w:t>附件5-3：</w:t>
      </w:r>
    </w:p>
    <w:p>
      <w:pPr>
        <w:spacing w:before="240" w:beforeLines="100" w:after="240" w:afterLines="100"/>
        <w:jc w:val="center"/>
        <w:rPr>
          <w:sz w:val="24"/>
        </w:rPr>
      </w:pPr>
      <w:r>
        <w:rPr>
          <w:rFonts w:hint="eastAsia"/>
          <w:b/>
          <w:bCs/>
          <w:sz w:val="44"/>
          <w:szCs w:val="44"/>
        </w:rPr>
        <w:t>法定代表人身份证明书</w:t>
      </w:r>
    </w:p>
    <w:p>
      <w:pPr>
        <w:spacing w:line="360" w:lineRule="exact"/>
        <w:ind w:firstLine="420" w:firstLineChars="200"/>
        <w:jc w:val="left"/>
        <w:rPr>
          <w:sz w:val="24"/>
        </w:rPr>
      </w:pPr>
      <w:r>
        <w:rPr>
          <w:rFonts w:hint="eastAsia"/>
          <w:u w:val="single"/>
        </w:rPr>
        <w:t xml:space="preserve">       </w:t>
      </w:r>
      <w:r>
        <w:rPr>
          <w:rFonts w:hint="eastAsia"/>
          <w:sz w:val="24"/>
        </w:rPr>
        <w:t>先生/小姐，现任我单位</w:t>
      </w:r>
      <w:r>
        <w:rPr>
          <w:rFonts w:hint="eastAsia"/>
          <w:sz w:val="24"/>
          <w:u w:val="single"/>
        </w:rPr>
        <w:t xml:space="preserve">           </w:t>
      </w:r>
      <w:r>
        <w:rPr>
          <w:rFonts w:hint="eastAsia"/>
          <w:sz w:val="24"/>
        </w:rPr>
        <w:t>职务，为法定代表人，特此证明。</w:t>
      </w:r>
    </w:p>
    <w:p>
      <w:pPr>
        <w:spacing w:line="360" w:lineRule="exact"/>
        <w:ind w:firstLine="480" w:firstLineChars="200"/>
        <w:jc w:val="left"/>
        <w:rPr>
          <w:sz w:val="24"/>
        </w:rPr>
      </w:pPr>
    </w:p>
    <w:p>
      <w:pPr>
        <w:spacing w:line="360" w:lineRule="exact"/>
        <w:ind w:firstLine="480" w:firstLineChars="200"/>
        <w:jc w:val="left"/>
        <w:rPr>
          <w:sz w:val="24"/>
        </w:rPr>
      </w:pPr>
      <w:r>
        <w:rPr>
          <w:rFonts w:hint="eastAsia"/>
          <w:sz w:val="24"/>
        </w:rPr>
        <w:t>有效日期：</w:t>
      </w:r>
    </w:p>
    <w:p>
      <w:pPr>
        <w:spacing w:line="360" w:lineRule="exact"/>
        <w:ind w:firstLine="480" w:firstLineChars="200"/>
        <w:jc w:val="left"/>
        <w:rPr>
          <w:sz w:val="24"/>
        </w:rPr>
      </w:pPr>
      <w:r>
        <w:rPr>
          <w:rFonts w:hint="eastAsia"/>
          <w:sz w:val="24"/>
        </w:rPr>
        <w:t>签发日期：</w:t>
      </w:r>
    </w:p>
    <w:p>
      <w:pPr>
        <w:spacing w:line="360" w:lineRule="exact"/>
        <w:ind w:firstLine="480" w:firstLineChars="200"/>
        <w:jc w:val="left"/>
        <w:rPr>
          <w:sz w:val="24"/>
        </w:rPr>
      </w:pPr>
      <w:r>
        <w:rPr>
          <w:rFonts w:hint="eastAsia"/>
          <w:sz w:val="24"/>
        </w:rPr>
        <w:t>附：</w:t>
      </w:r>
    </w:p>
    <w:p>
      <w:pPr>
        <w:spacing w:line="360" w:lineRule="exact"/>
        <w:ind w:firstLine="480" w:firstLineChars="200"/>
        <w:jc w:val="left"/>
        <w:rPr>
          <w:sz w:val="24"/>
        </w:rPr>
      </w:pPr>
      <w:r>
        <w:rPr>
          <w:rFonts w:hint="eastAsia"/>
          <w:sz w:val="24"/>
        </w:rPr>
        <w:t>代表人性别：</w:t>
      </w:r>
    </w:p>
    <w:p>
      <w:pPr>
        <w:spacing w:line="360" w:lineRule="exact"/>
        <w:ind w:firstLine="480" w:firstLineChars="200"/>
        <w:jc w:val="left"/>
        <w:rPr>
          <w:sz w:val="24"/>
        </w:rPr>
      </w:pPr>
      <w:r>
        <w:rPr>
          <w:rFonts w:hint="eastAsia"/>
          <w:sz w:val="24"/>
        </w:rPr>
        <w:t xml:space="preserve">年龄： </w:t>
      </w:r>
    </w:p>
    <w:p>
      <w:pPr>
        <w:spacing w:line="360" w:lineRule="exact"/>
        <w:ind w:firstLine="480" w:firstLineChars="200"/>
        <w:jc w:val="left"/>
        <w:rPr>
          <w:sz w:val="24"/>
        </w:rPr>
      </w:pPr>
      <w:r>
        <w:rPr>
          <w:rFonts w:hint="eastAsia"/>
          <w:sz w:val="24"/>
        </w:rPr>
        <w:t>身份证号码：</w:t>
      </w:r>
    </w:p>
    <w:p>
      <w:pPr>
        <w:spacing w:line="360" w:lineRule="exact"/>
        <w:ind w:firstLine="480" w:firstLineChars="200"/>
        <w:jc w:val="left"/>
        <w:rPr>
          <w:sz w:val="24"/>
        </w:rPr>
      </w:pPr>
      <w:r>
        <w:rPr>
          <w:rFonts w:hint="eastAsia"/>
          <w:sz w:val="24"/>
        </w:rPr>
        <w:t>营业执照号码（或统一社会信用代码）：</w:t>
      </w:r>
    </w:p>
    <w:p>
      <w:pPr>
        <w:spacing w:line="360" w:lineRule="exact"/>
        <w:ind w:firstLine="480" w:firstLineChars="200"/>
        <w:jc w:val="left"/>
        <w:rPr>
          <w:sz w:val="24"/>
        </w:rPr>
      </w:pPr>
      <w:r>
        <w:rPr>
          <w:rFonts w:hint="eastAsia"/>
          <w:sz w:val="24"/>
        </w:rPr>
        <w:t>企业类型：</w:t>
      </w:r>
    </w:p>
    <w:p>
      <w:pPr>
        <w:spacing w:line="360" w:lineRule="exact"/>
        <w:ind w:firstLine="480" w:firstLineChars="200"/>
        <w:jc w:val="left"/>
        <w:rPr>
          <w:sz w:val="24"/>
        </w:rPr>
      </w:pPr>
      <w:r>
        <w:rPr>
          <w:rFonts w:hint="eastAsia"/>
          <w:sz w:val="24"/>
        </w:rPr>
        <w:t>经营范围：</w:t>
      </w:r>
    </w:p>
    <w:p>
      <w:pPr>
        <w:spacing w:line="360" w:lineRule="exact"/>
        <w:ind w:firstLine="480" w:firstLineChars="200"/>
        <w:jc w:val="left"/>
        <w:rPr>
          <w:sz w:val="24"/>
        </w:rPr>
      </w:pPr>
    </w:p>
    <w:p>
      <w:pPr>
        <w:spacing w:line="360" w:lineRule="exact"/>
        <w:ind w:firstLine="480" w:firstLineChars="200"/>
        <w:jc w:val="left"/>
        <w:rPr>
          <w:sz w:val="24"/>
        </w:rPr>
      </w:pPr>
    </w:p>
    <w:p>
      <w:pPr>
        <w:spacing w:line="360" w:lineRule="exact"/>
        <w:ind w:firstLine="480" w:firstLineChars="200"/>
        <w:jc w:val="left"/>
        <w:rPr>
          <w:sz w:val="24"/>
        </w:rPr>
      </w:pPr>
    </w:p>
    <w:p>
      <w:pPr>
        <w:pStyle w:val="21"/>
        <w:spacing w:after="0" w:line="360" w:lineRule="exact"/>
        <w:ind w:firstLine="480" w:firstLineChars="200"/>
        <w:jc w:val="left"/>
        <w:rPr>
          <w:sz w:val="24"/>
          <w:szCs w:val="24"/>
        </w:rPr>
      </w:pPr>
      <w:r>
        <w:rPr>
          <w:rFonts w:hint="eastAsia"/>
          <w:sz w:val="24"/>
          <w:szCs w:val="24"/>
        </w:rPr>
        <w:t>投标人名称（加盖公章）：</w:t>
      </w:r>
    </w:p>
    <w:p>
      <w:pPr>
        <w:pStyle w:val="21"/>
        <w:spacing w:after="0" w:line="360" w:lineRule="exact"/>
        <w:ind w:firstLine="480" w:firstLineChars="200"/>
        <w:jc w:val="left"/>
        <w:rPr>
          <w:sz w:val="24"/>
          <w:szCs w:val="24"/>
        </w:rPr>
      </w:pPr>
      <w:r>
        <w:rPr>
          <w:rFonts w:hint="eastAsia"/>
          <w:sz w:val="24"/>
          <w:szCs w:val="24"/>
        </w:rPr>
        <w:t>投标人地址：</w:t>
      </w:r>
    </w:p>
    <w:p>
      <w:pPr>
        <w:spacing w:line="360" w:lineRule="exact"/>
        <w:ind w:firstLine="480" w:firstLineChars="200"/>
        <w:jc w:val="left"/>
        <w:rPr>
          <w:sz w:val="24"/>
        </w:rPr>
      </w:pPr>
      <w:r>
        <w:rPr>
          <w:rFonts w:hint="eastAsia"/>
          <w:sz w:val="24"/>
        </w:rPr>
        <w:t>日      期：</w:t>
      </w:r>
    </w:p>
    <w:p>
      <w:pPr>
        <w:spacing w:line="360" w:lineRule="exact"/>
        <w:ind w:firstLine="480" w:firstLineChars="200"/>
        <w:jc w:val="left"/>
        <w:rPr>
          <w:sz w:val="24"/>
        </w:rPr>
      </w:pPr>
    </w:p>
    <w:p>
      <w:pPr>
        <w:spacing w:line="360" w:lineRule="exact"/>
        <w:jc w:val="left"/>
        <w:rPr>
          <w:bCs/>
          <w:sz w:val="24"/>
        </w:rPr>
      </w:pPr>
      <w:r>
        <w:rPr>
          <w:rFonts w:hint="eastAsia"/>
          <w:sz w:val="24"/>
        </w:rPr>
        <w:t>注：法定代表人身份证明书需附法定代表人身份证复印件</w:t>
      </w:r>
      <w:r>
        <w:rPr>
          <w:rFonts w:hint="eastAsia"/>
          <w:bCs/>
          <w:sz w:val="24"/>
        </w:rPr>
        <w:t>（加盖公章）。</w:t>
      </w:r>
    </w:p>
    <w:p>
      <w:pPr>
        <w:spacing w:before="240" w:beforeLines="100" w:after="240" w:afterLines="100"/>
        <w:rPr>
          <w:sz w:val="24"/>
        </w:rPr>
      </w:pPr>
      <w:r>
        <w:rPr>
          <w:sz w:val="24"/>
        </w:rPr>
        <w:br w:type="page"/>
      </w:r>
      <w:r>
        <w:rPr>
          <w:rFonts w:hint="eastAsia"/>
          <w:sz w:val="24"/>
        </w:rPr>
        <w:t>附件5-4：</w:t>
      </w:r>
    </w:p>
    <w:p>
      <w:pPr>
        <w:spacing w:before="240" w:beforeLines="100" w:after="240" w:afterLines="100"/>
        <w:jc w:val="center"/>
        <w:rPr>
          <w:b/>
          <w:bCs/>
          <w:sz w:val="24"/>
          <w:szCs w:val="44"/>
        </w:rPr>
      </w:pPr>
      <w:r>
        <w:rPr>
          <w:rFonts w:hint="eastAsia"/>
          <w:b/>
          <w:bCs/>
          <w:sz w:val="44"/>
          <w:szCs w:val="44"/>
        </w:rPr>
        <w:t>法定代表人授权委托书</w:t>
      </w:r>
    </w:p>
    <w:p>
      <w:pPr>
        <w:pStyle w:val="24"/>
        <w:spacing w:line="360" w:lineRule="exact"/>
        <w:rPr>
          <w:rFonts w:ascii="Times New Roman" w:hAnsi="Times New Roman"/>
          <w:b/>
          <w:sz w:val="24"/>
          <w:szCs w:val="24"/>
        </w:rPr>
      </w:pPr>
      <w:r>
        <w:rPr>
          <w:rFonts w:hint="eastAsia" w:ascii="Times New Roman" w:hAnsi="Times New Roman"/>
          <w:b/>
          <w:kern w:val="0"/>
          <w:sz w:val="24"/>
          <w:szCs w:val="24"/>
        </w:rPr>
        <w:t>致：</w:t>
      </w:r>
      <w:r>
        <w:rPr>
          <w:rFonts w:hint="eastAsia" w:ascii="Times New Roman" w:hAnsi="Times New Roman"/>
          <w:b/>
          <w:sz w:val="24"/>
          <w:szCs w:val="24"/>
        </w:rPr>
        <w:t>广东中元招标代理有限公司</w:t>
      </w:r>
    </w:p>
    <w:p>
      <w:pPr>
        <w:pStyle w:val="24"/>
        <w:spacing w:line="360" w:lineRule="exact"/>
        <w:rPr>
          <w:rFonts w:ascii="Times New Roman" w:hAnsi="Times New Roman"/>
          <w:sz w:val="24"/>
          <w:szCs w:val="24"/>
        </w:rPr>
      </w:pPr>
    </w:p>
    <w:p>
      <w:pPr>
        <w:pStyle w:val="24"/>
        <w:spacing w:line="360" w:lineRule="exact"/>
        <w:ind w:firstLine="480" w:firstLineChars="200"/>
        <w:rPr>
          <w:rFonts w:ascii="Times New Roman" w:hAnsi="Times New Roman"/>
          <w:sz w:val="24"/>
          <w:szCs w:val="24"/>
        </w:rPr>
      </w:pPr>
      <w:r>
        <w:rPr>
          <w:rFonts w:hint="eastAsia" w:ascii="Times New Roman" w:hAnsi="Times New Roman"/>
          <w:sz w:val="24"/>
          <w:szCs w:val="24"/>
        </w:rPr>
        <w:t>本授权书声明：</w:t>
      </w:r>
      <w:r>
        <w:rPr>
          <w:rFonts w:hint="eastAsia" w:ascii="Times New Roman" w:hAnsi="Times New Roman"/>
          <w:sz w:val="24"/>
          <w:szCs w:val="24"/>
          <w:u w:val="single"/>
        </w:rPr>
        <w:t xml:space="preserve">   （法定代表人）  </w:t>
      </w:r>
      <w:r>
        <w:rPr>
          <w:rFonts w:hint="eastAsia" w:ascii="Times New Roman" w:hAnsi="Times New Roman"/>
          <w:sz w:val="24"/>
          <w:szCs w:val="24"/>
        </w:rPr>
        <w:t>是注册于</w:t>
      </w:r>
      <w:r>
        <w:rPr>
          <w:rFonts w:hint="eastAsia" w:ascii="Times New Roman" w:hAnsi="Times New Roman"/>
          <w:sz w:val="24"/>
          <w:szCs w:val="24"/>
          <w:u w:val="single"/>
        </w:rPr>
        <w:t>（国家或地区）</w:t>
      </w:r>
      <w:r>
        <w:rPr>
          <w:rFonts w:hint="eastAsia" w:ascii="Times New Roman" w:hAnsi="Times New Roman"/>
          <w:sz w:val="24"/>
          <w:szCs w:val="24"/>
        </w:rPr>
        <w:t>的</w:t>
      </w:r>
      <w:r>
        <w:rPr>
          <w:rFonts w:hint="eastAsia" w:ascii="Times New Roman" w:hAnsi="Times New Roman"/>
          <w:sz w:val="24"/>
          <w:szCs w:val="24"/>
          <w:u w:val="single"/>
        </w:rPr>
        <w:t>（投标人名称）</w:t>
      </w:r>
      <w:r>
        <w:rPr>
          <w:rFonts w:hint="eastAsia" w:ascii="Times New Roman" w:hAnsi="Times New Roman"/>
          <w:sz w:val="24"/>
          <w:szCs w:val="24"/>
        </w:rPr>
        <w:t>的法定代表人。现任职务。在</w:t>
      </w:r>
      <w:r>
        <w:rPr>
          <w:rFonts w:hint="eastAsia" w:ascii="Times New Roman" w:hAnsi="Times New Roman"/>
          <w:sz w:val="24"/>
          <w:u w:val="single"/>
        </w:rPr>
        <w:t xml:space="preserve">      （项目名称）       </w:t>
      </w:r>
      <w:r>
        <w:rPr>
          <w:rFonts w:hint="eastAsia" w:ascii="Times New Roman" w:hAnsi="Times New Roman"/>
          <w:sz w:val="24"/>
          <w:szCs w:val="24"/>
        </w:rPr>
        <w:t>（采购编号为：</w:t>
      </w:r>
      <w:r>
        <w:rPr>
          <w:rFonts w:hint="eastAsia" w:ascii="Times New Roman" w:hAnsi="Times New Roman"/>
          <w:sz w:val="24"/>
          <w:szCs w:val="24"/>
          <w:u w:val="single"/>
        </w:rPr>
        <w:t xml:space="preserve">          </w:t>
      </w:r>
      <w:r>
        <w:rPr>
          <w:rFonts w:hint="eastAsia" w:ascii="Times New Roman" w:hAnsi="Times New Roman"/>
          <w:sz w:val="24"/>
          <w:szCs w:val="24"/>
        </w:rPr>
        <w:t>）的投标和合同执行过程中，现授权</w:t>
      </w:r>
      <w:r>
        <w:rPr>
          <w:rFonts w:hint="eastAsia" w:ascii="Times New Roman" w:hAnsi="Times New Roman"/>
          <w:sz w:val="24"/>
          <w:szCs w:val="24"/>
          <w:u w:val="single"/>
        </w:rPr>
        <w:t>（姓名、职务）</w:t>
      </w:r>
      <w:r>
        <w:rPr>
          <w:rFonts w:hint="eastAsia" w:ascii="Times New Roman" w:hAnsi="Times New Roman"/>
          <w:sz w:val="24"/>
          <w:szCs w:val="24"/>
        </w:rPr>
        <w:t>作为我公司的全权代理人，以我方的名义处理一切与之有关的事宜。</w:t>
      </w:r>
    </w:p>
    <w:p>
      <w:pPr>
        <w:pStyle w:val="24"/>
        <w:spacing w:line="360" w:lineRule="exact"/>
        <w:ind w:firstLine="480" w:firstLineChars="200"/>
        <w:rPr>
          <w:rFonts w:ascii="Times New Roman" w:hAnsi="Times New Roman"/>
          <w:sz w:val="24"/>
          <w:szCs w:val="24"/>
        </w:rPr>
      </w:pPr>
    </w:p>
    <w:p>
      <w:pPr>
        <w:pStyle w:val="24"/>
        <w:spacing w:line="360" w:lineRule="exact"/>
        <w:ind w:firstLine="480" w:firstLineChars="200"/>
        <w:rPr>
          <w:rFonts w:ascii="Times New Roman" w:hAnsi="Times New Roman"/>
          <w:sz w:val="24"/>
          <w:szCs w:val="24"/>
        </w:rPr>
      </w:pPr>
    </w:p>
    <w:p>
      <w:pPr>
        <w:spacing w:line="360" w:lineRule="exact"/>
        <w:ind w:firstLine="480" w:firstLineChars="200"/>
        <w:jc w:val="left"/>
        <w:rPr>
          <w:sz w:val="24"/>
        </w:rPr>
      </w:pPr>
      <w:r>
        <w:rPr>
          <w:rFonts w:hint="eastAsia"/>
          <w:sz w:val="24"/>
        </w:rPr>
        <w:t>本授权书于   年  月  日签字生效，特此声明。</w:t>
      </w:r>
    </w:p>
    <w:p>
      <w:pPr>
        <w:spacing w:line="360" w:lineRule="exact"/>
        <w:ind w:firstLine="480" w:firstLineChars="200"/>
        <w:jc w:val="left"/>
        <w:rPr>
          <w:sz w:val="24"/>
        </w:rPr>
      </w:pPr>
    </w:p>
    <w:p>
      <w:pPr>
        <w:spacing w:line="360" w:lineRule="exact"/>
        <w:ind w:firstLine="480" w:firstLineChars="200"/>
        <w:jc w:val="left"/>
        <w:rPr>
          <w:sz w:val="24"/>
        </w:rPr>
      </w:pPr>
    </w:p>
    <w:p>
      <w:pPr>
        <w:spacing w:line="360" w:lineRule="exact"/>
        <w:ind w:firstLine="480" w:firstLineChars="200"/>
        <w:jc w:val="left"/>
        <w:rPr>
          <w:sz w:val="24"/>
        </w:rPr>
      </w:pPr>
      <w:r>
        <w:rPr>
          <w:rFonts w:hint="eastAsia"/>
          <w:sz w:val="24"/>
        </w:rPr>
        <w:t>法定代表人签字（或盖私章）：</w:t>
      </w:r>
    </w:p>
    <w:p>
      <w:pPr>
        <w:spacing w:line="360" w:lineRule="exact"/>
        <w:ind w:firstLine="480" w:firstLineChars="200"/>
        <w:jc w:val="left"/>
        <w:rPr>
          <w:sz w:val="24"/>
        </w:rPr>
      </w:pPr>
      <w:r>
        <w:rPr>
          <w:rFonts w:hint="eastAsia"/>
          <w:sz w:val="24"/>
        </w:rPr>
        <w:t>被授权人签字：</w:t>
      </w:r>
    </w:p>
    <w:p>
      <w:pPr>
        <w:spacing w:line="360" w:lineRule="exact"/>
        <w:ind w:firstLine="480" w:firstLineChars="200"/>
        <w:jc w:val="left"/>
        <w:rPr>
          <w:sz w:val="24"/>
        </w:rPr>
      </w:pPr>
      <w:r>
        <w:rPr>
          <w:rFonts w:hint="eastAsia"/>
          <w:sz w:val="24"/>
        </w:rPr>
        <w:t>单位盖章：</w:t>
      </w:r>
    </w:p>
    <w:p>
      <w:pPr>
        <w:spacing w:line="360" w:lineRule="exact"/>
        <w:ind w:firstLine="480" w:firstLineChars="200"/>
        <w:jc w:val="left"/>
        <w:rPr>
          <w:sz w:val="24"/>
        </w:rPr>
      </w:pPr>
    </w:p>
    <w:p>
      <w:pPr>
        <w:spacing w:line="360" w:lineRule="exact"/>
        <w:ind w:firstLine="480" w:firstLineChars="200"/>
        <w:jc w:val="left"/>
        <w:rPr>
          <w:sz w:val="24"/>
        </w:rPr>
      </w:pPr>
      <w:r>
        <w:rPr>
          <w:rFonts w:hint="eastAsia"/>
          <w:sz w:val="24"/>
        </w:rPr>
        <w:t>附：</w:t>
      </w:r>
    </w:p>
    <w:p>
      <w:pPr>
        <w:spacing w:line="360" w:lineRule="exact"/>
        <w:ind w:firstLine="480" w:firstLineChars="200"/>
        <w:jc w:val="left"/>
        <w:rPr>
          <w:sz w:val="24"/>
        </w:rPr>
      </w:pPr>
      <w:r>
        <w:rPr>
          <w:rFonts w:hint="eastAsia"/>
          <w:sz w:val="24"/>
        </w:rPr>
        <w:t>被授权人姓名：</w:t>
      </w:r>
    </w:p>
    <w:p>
      <w:pPr>
        <w:spacing w:line="360" w:lineRule="exact"/>
        <w:ind w:firstLine="480" w:firstLineChars="200"/>
        <w:jc w:val="left"/>
        <w:rPr>
          <w:sz w:val="24"/>
        </w:rPr>
      </w:pPr>
      <w:r>
        <w:rPr>
          <w:rFonts w:hint="eastAsia"/>
          <w:sz w:val="24"/>
        </w:rPr>
        <w:t>职务：</w:t>
      </w:r>
    </w:p>
    <w:p>
      <w:pPr>
        <w:spacing w:line="360" w:lineRule="exact"/>
        <w:ind w:firstLine="480" w:firstLineChars="200"/>
        <w:jc w:val="left"/>
        <w:rPr>
          <w:sz w:val="24"/>
        </w:rPr>
      </w:pPr>
      <w:r>
        <w:rPr>
          <w:rFonts w:hint="eastAsia"/>
          <w:sz w:val="24"/>
        </w:rPr>
        <w:t>详细通讯地址：</w:t>
      </w:r>
    </w:p>
    <w:p>
      <w:pPr>
        <w:spacing w:line="360" w:lineRule="exact"/>
        <w:ind w:firstLine="480" w:firstLineChars="200"/>
        <w:jc w:val="left"/>
        <w:rPr>
          <w:sz w:val="24"/>
        </w:rPr>
      </w:pPr>
      <w:r>
        <w:rPr>
          <w:rFonts w:hint="eastAsia"/>
          <w:sz w:val="24"/>
        </w:rPr>
        <w:t>邮政编码：</w:t>
      </w:r>
    </w:p>
    <w:p>
      <w:pPr>
        <w:spacing w:line="360" w:lineRule="exact"/>
        <w:ind w:firstLine="480" w:firstLineChars="200"/>
        <w:jc w:val="left"/>
        <w:rPr>
          <w:sz w:val="24"/>
        </w:rPr>
      </w:pPr>
      <w:r>
        <w:rPr>
          <w:rFonts w:hint="eastAsia"/>
          <w:sz w:val="24"/>
        </w:rPr>
        <w:t>电话：</w:t>
      </w:r>
    </w:p>
    <w:p>
      <w:pPr>
        <w:spacing w:line="360" w:lineRule="exact"/>
        <w:ind w:firstLine="480" w:firstLineChars="200"/>
        <w:jc w:val="left"/>
        <w:rPr>
          <w:sz w:val="24"/>
        </w:rPr>
      </w:pPr>
      <w:r>
        <w:rPr>
          <w:rFonts w:hint="eastAsia"/>
          <w:sz w:val="24"/>
        </w:rPr>
        <w:t>移动电话：</w:t>
      </w:r>
    </w:p>
    <w:p>
      <w:pPr>
        <w:spacing w:line="360" w:lineRule="exact"/>
        <w:ind w:firstLine="480" w:firstLineChars="200"/>
        <w:jc w:val="left"/>
        <w:rPr>
          <w:sz w:val="24"/>
        </w:rPr>
      </w:pPr>
      <w:r>
        <w:rPr>
          <w:rFonts w:hint="eastAsia"/>
          <w:sz w:val="24"/>
        </w:rPr>
        <w:t>传真：</w:t>
      </w:r>
    </w:p>
    <w:p>
      <w:pPr>
        <w:spacing w:line="360" w:lineRule="exact"/>
        <w:ind w:firstLine="200"/>
        <w:jc w:val="left"/>
        <w:rPr>
          <w:sz w:val="24"/>
        </w:rPr>
      </w:pPr>
    </w:p>
    <w:p>
      <w:pPr>
        <w:spacing w:line="360" w:lineRule="exact"/>
        <w:jc w:val="left"/>
        <w:rPr>
          <w:sz w:val="24"/>
        </w:rPr>
      </w:pPr>
      <w:r>
        <w:rPr>
          <w:rFonts w:hint="eastAsia"/>
          <w:sz w:val="24"/>
        </w:rPr>
        <w:t>注：1、法定代表人授权委托书除装订于投标文件中外，还应按投标人须知的规定密封标记并与开标一览表、法定代表人授权委托书及被授权代表身份证（复印件加盖公章）一同密封装入唱标信封中，唱标信封单独提交。</w:t>
      </w:r>
    </w:p>
    <w:p>
      <w:pPr>
        <w:pStyle w:val="21"/>
        <w:spacing w:after="0" w:line="360" w:lineRule="exact"/>
        <w:ind w:firstLine="480" w:firstLineChars="200"/>
        <w:jc w:val="left"/>
        <w:rPr>
          <w:sz w:val="24"/>
        </w:rPr>
      </w:pPr>
      <w:r>
        <w:rPr>
          <w:rFonts w:hint="eastAsia"/>
          <w:bCs/>
          <w:sz w:val="24"/>
        </w:rPr>
        <w:t>2、</w:t>
      </w:r>
      <w:r>
        <w:rPr>
          <w:rFonts w:hint="eastAsia"/>
          <w:sz w:val="24"/>
        </w:rPr>
        <w:t>法定代表人授权委托书需附被授权代表身份证复印件</w:t>
      </w:r>
      <w:r>
        <w:rPr>
          <w:rFonts w:hint="eastAsia"/>
          <w:bCs/>
          <w:sz w:val="24"/>
        </w:rPr>
        <w:t>（加盖公章）。</w:t>
      </w:r>
    </w:p>
    <w:p>
      <w:pPr>
        <w:spacing w:before="240" w:beforeLines="100" w:after="240" w:afterLines="100"/>
        <w:rPr>
          <w:sz w:val="24"/>
        </w:rPr>
      </w:pPr>
      <w:r>
        <w:rPr>
          <w:sz w:val="24"/>
        </w:rPr>
        <w:br w:type="page"/>
      </w:r>
      <w:r>
        <w:rPr>
          <w:rFonts w:hint="eastAsia"/>
          <w:sz w:val="24"/>
        </w:rPr>
        <w:t>附件5-5：</w:t>
      </w:r>
    </w:p>
    <w:p>
      <w:pPr>
        <w:spacing w:before="240" w:beforeLines="100" w:after="240" w:afterLines="100"/>
        <w:jc w:val="center"/>
        <w:rPr>
          <w:b/>
          <w:bCs/>
          <w:sz w:val="44"/>
          <w:szCs w:val="44"/>
        </w:rPr>
      </w:pPr>
      <w:r>
        <w:rPr>
          <w:rFonts w:hint="eastAsia"/>
          <w:b/>
          <w:bCs/>
          <w:sz w:val="44"/>
          <w:szCs w:val="44"/>
        </w:rPr>
        <w:t>业绩表</w:t>
      </w:r>
    </w:p>
    <w:p>
      <w:pPr>
        <w:spacing w:line="360" w:lineRule="auto"/>
        <w:rPr>
          <w:sz w:val="24"/>
        </w:rPr>
      </w:pPr>
      <w:r>
        <w:rPr>
          <w:rFonts w:hint="eastAsia" w:ascii="Time New Roma" w:hAnsi="Time New Roma"/>
          <w:sz w:val="24"/>
        </w:rPr>
        <w:t>项目名称：</w:t>
      </w:r>
      <w:r>
        <w:rPr>
          <w:rFonts w:hint="eastAsia" w:ascii="Time New Roma" w:hAnsi="Time New Roma"/>
          <w:sz w:val="24"/>
          <w:u w:val="single"/>
        </w:rPr>
        <w:t xml:space="preserve">                          </w:t>
      </w:r>
      <w:r>
        <w:rPr>
          <w:rFonts w:hint="eastAsia" w:ascii="Time New Roma" w:hAnsi="Time New Roma"/>
          <w:sz w:val="24"/>
        </w:rPr>
        <w:t xml:space="preserve"> 采购编号：</w:t>
      </w:r>
      <w:r>
        <w:rPr>
          <w:rFonts w:hint="eastAsia" w:ascii="Time New Roma" w:hAnsi="Time New Roma"/>
          <w:sz w:val="24"/>
          <w:u w:val="single"/>
        </w:rPr>
        <w:t xml:space="preserve">                   </w:t>
      </w:r>
      <w:r>
        <w:rPr>
          <w:rFonts w:hint="eastAsia" w:ascii="Time New Roma" w:hAnsi="Time New Roma"/>
          <w:sz w:val="24"/>
        </w:rPr>
        <w:t xml:space="preserve"> </w:t>
      </w:r>
      <w:r>
        <w:rPr>
          <w:rFonts w:hint="eastAsia"/>
          <w:sz w:val="24"/>
        </w:rPr>
        <w:t xml:space="preserve"> </w:t>
      </w:r>
    </w:p>
    <w:tbl>
      <w:tblPr>
        <w:tblStyle w:val="47"/>
        <w:tblW w:w="89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
        <w:gridCol w:w="1646"/>
        <w:gridCol w:w="1236"/>
        <w:gridCol w:w="1199"/>
        <w:gridCol w:w="1226"/>
        <w:gridCol w:w="1409"/>
        <w:gridCol w:w="1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4" w:type="dxa"/>
            <w:tcBorders>
              <w:top w:val="single" w:color="auto" w:sz="6" w:space="0"/>
              <w:left w:val="single" w:color="auto" w:sz="6" w:space="0"/>
              <w:bottom w:val="single" w:color="auto" w:sz="6" w:space="0"/>
              <w:right w:val="single" w:color="auto" w:sz="6" w:space="0"/>
            </w:tcBorders>
            <w:vAlign w:val="center"/>
          </w:tcPr>
          <w:p>
            <w:pPr>
              <w:jc w:val="center"/>
              <w:rPr>
                <w:sz w:val="24"/>
              </w:rPr>
            </w:pPr>
            <w:r>
              <w:rPr>
                <w:rFonts w:hint="eastAsia"/>
                <w:sz w:val="24"/>
              </w:rPr>
              <w:t>序号</w:t>
            </w:r>
          </w:p>
        </w:tc>
        <w:tc>
          <w:tcPr>
            <w:tcW w:w="1646" w:type="dxa"/>
            <w:tcBorders>
              <w:top w:val="single" w:color="auto" w:sz="6" w:space="0"/>
              <w:left w:val="single" w:color="auto" w:sz="6" w:space="0"/>
              <w:bottom w:val="single" w:color="auto" w:sz="6" w:space="0"/>
              <w:right w:val="single" w:color="auto" w:sz="6" w:space="0"/>
            </w:tcBorders>
            <w:vAlign w:val="center"/>
          </w:tcPr>
          <w:p>
            <w:pPr>
              <w:jc w:val="center"/>
              <w:rPr>
                <w:sz w:val="24"/>
              </w:rPr>
            </w:pPr>
            <w:r>
              <w:rPr>
                <w:rFonts w:hint="eastAsia"/>
                <w:sz w:val="24"/>
              </w:rPr>
              <w:t>项目名称及地点</w:t>
            </w:r>
          </w:p>
        </w:tc>
        <w:tc>
          <w:tcPr>
            <w:tcW w:w="1236" w:type="dxa"/>
            <w:tcBorders>
              <w:top w:val="single" w:color="auto" w:sz="6" w:space="0"/>
              <w:left w:val="single" w:color="auto" w:sz="6" w:space="0"/>
              <w:bottom w:val="single" w:color="auto" w:sz="6" w:space="0"/>
              <w:right w:val="single" w:color="auto" w:sz="6" w:space="0"/>
            </w:tcBorders>
            <w:vAlign w:val="center"/>
          </w:tcPr>
          <w:p>
            <w:pPr>
              <w:jc w:val="center"/>
              <w:rPr>
                <w:sz w:val="24"/>
              </w:rPr>
            </w:pPr>
            <w:r>
              <w:rPr>
                <w:rFonts w:hint="eastAsia"/>
                <w:sz w:val="24"/>
              </w:rPr>
              <w:t>采购单位</w:t>
            </w:r>
          </w:p>
        </w:tc>
        <w:tc>
          <w:tcPr>
            <w:tcW w:w="1199" w:type="dxa"/>
            <w:tcBorders>
              <w:top w:val="single" w:color="auto" w:sz="6" w:space="0"/>
              <w:left w:val="single" w:color="auto" w:sz="6" w:space="0"/>
              <w:bottom w:val="single" w:color="auto" w:sz="6" w:space="0"/>
              <w:right w:val="single" w:color="auto" w:sz="6" w:space="0"/>
            </w:tcBorders>
            <w:vAlign w:val="center"/>
          </w:tcPr>
          <w:p>
            <w:pPr>
              <w:jc w:val="center"/>
              <w:rPr>
                <w:sz w:val="24"/>
              </w:rPr>
            </w:pPr>
            <w:r>
              <w:rPr>
                <w:rFonts w:hint="eastAsia"/>
                <w:sz w:val="24"/>
              </w:rPr>
              <w:t>项目合同金额</w:t>
            </w:r>
          </w:p>
        </w:tc>
        <w:tc>
          <w:tcPr>
            <w:tcW w:w="1226" w:type="dxa"/>
            <w:tcBorders>
              <w:top w:val="single" w:color="auto" w:sz="6" w:space="0"/>
              <w:left w:val="single" w:color="auto" w:sz="6" w:space="0"/>
              <w:bottom w:val="single" w:color="auto" w:sz="6" w:space="0"/>
              <w:right w:val="single" w:color="auto" w:sz="6" w:space="0"/>
            </w:tcBorders>
            <w:vAlign w:val="center"/>
          </w:tcPr>
          <w:p>
            <w:pPr>
              <w:jc w:val="center"/>
              <w:rPr>
                <w:sz w:val="24"/>
              </w:rPr>
            </w:pPr>
            <w:r>
              <w:rPr>
                <w:rFonts w:hint="eastAsia"/>
                <w:sz w:val="24"/>
              </w:rPr>
              <w:t>服务时间及主要内容</w:t>
            </w:r>
          </w:p>
        </w:tc>
        <w:tc>
          <w:tcPr>
            <w:tcW w:w="1409" w:type="dxa"/>
            <w:tcBorders>
              <w:top w:val="single" w:color="auto" w:sz="6" w:space="0"/>
              <w:left w:val="single" w:color="auto" w:sz="6" w:space="0"/>
              <w:bottom w:val="single" w:color="auto" w:sz="6" w:space="0"/>
              <w:right w:val="single" w:color="auto" w:sz="6" w:space="0"/>
            </w:tcBorders>
            <w:vAlign w:val="center"/>
          </w:tcPr>
          <w:p>
            <w:pPr>
              <w:jc w:val="center"/>
              <w:rPr>
                <w:sz w:val="24"/>
              </w:rPr>
            </w:pPr>
            <w:r>
              <w:rPr>
                <w:rFonts w:hint="eastAsia"/>
                <w:sz w:val="24"/>
              </w:rPr>
              <w:t>项目负责人及主要参与人员</w:t>
            </w:r>
          </w:p>
        </w:tc>
        <w:tc>
          <w:tcPr>
            <w:tcW w:w="1529" w:type="dxa"/>
            <w:tcBorders>
              <w:top w:val="single" w:color="auto" w:sz="6" w:space="0"/>
              <w:left w:val="single" w:color="auto" w:sz="6" w:space="0"/>
              <w:bottom w:val="single" w:color="auto" w:sz="6" w:space="0"/>
              <w:right w:val="single" w:color="auto" w:sz="6" w:space="0"/>
            </w:tcBorders>
            <w:vAlign w:val="center"/>
          </w:tcPr>
          <w:p>
            <w:pPr>
              <w:jc w:val="center"/>
              <w:rPr>
                <w:sz w:val="24"/>
              </w:rPr>
            </w:pPr>
            <w:r>
              <w:rPr>
                <w:rFonts w:hint="eastAsia"/>
                <w:sz w:val="24"/>
              </w:rPr>
              <w:t>项目单位联系人及电话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64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3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19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2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40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64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3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19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2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40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64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3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19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2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40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64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3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19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2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40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64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3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19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2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40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64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3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19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2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40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64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3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19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2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40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64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3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19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226"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40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rPr>
                <w:sz w:val="24"/>
              </w:rPr>
            </w:pPr>
          </w:p>
        </w:tc>
      </w:tr>
    </w:tbl>
    <w:p>
      <w:pPr>
        <w:pStyle w:val="114"/>
        <w:spacing w:line="360" w:lineRule="exact"/>
        <w:ind w:firstLine="0" w:firstLineChars="0"/>
        <w:jc w:val="left"/>
        <w:rPr>
          <w:rFonts w:ascii="Times New Roman" w:hAnsi="Times New Roman" w:eastAsia="宋体"/>
          <w:sz w:val="28"/>
        </w:rPr>
      </w:pPr>
    </w:p>
    <w:p>
      <w:pPr>
        <w:pStyle w:val="114"/>
        <w:spacing w:line="360" w:lineRule="exact"/>
        <w:ind w:firstLine="0" w:firstLineChars="0"/>
        <w:jc w:val="left"/>
        <w:rPr>
          <w:rFonts w:ascii="Times New Roman" w:hAnsi="Times New Roman"/>
          <w:sz w:val="24"/>
          <w:szCs w:val="24"/>
        </w:rPr>
      </w:pPr>
      <w:r>
        <w:rPr>
          <w:rFonts w:hint="eastAsia" w:ascii="Times New Roman" w:hAnsi="Times New Roman" w:eastAsia="宋体"/>
          <w:sz w:val="24"/>
          <w:szCs w:val="24"/>
        </w:rPr>
        <w:t>注：按照招标文件要求提供证明文件。</w:t>
      </w:r>
    </w:p>
    <w:p>
      <w:pPr>
        <w:pStyle w:val="114"/>
        <w:spacing w:line="240" w:lineRule="auto"/>
        <w:ind w:firstLine="560" w:firstLineChars="200"/>
        <w:jc w:val="left"/>
        <w:rPr>
          <w:rFonts w:ascii="Times New Roman" w:hAnsi="Times New Roman" w:eastAsia="宋体"/>
          <w:sz w:val="28"/>
        </w:rPr>
      </w:pPr>
    </w:p>
    <w:p>
      <w:pPr>
        <w:pStyle w:val="21"/>
        <w:spacing w:after="0" w:line="360" w:lineRule="exact"/>
        <w:ind w:firstLine="480" w:firstLineChars="200"/>
        <w:jc w:val="left"/>
        <w:rPr>
          <w:sz w:val="24"/>
          <w:szCs w:val="24"/>
        </w:rPr>
      </w:pPr>
    </w:p>
    <w:p>
      <w:pPr>
        <w:pStyle w:val="21"/>
        <w:spacing w:after="0" w:line="360" w:lineRule="exact"/>
        <w:ind w:firstLine="480" w:firstLineChars="200"/>
        <w:jc w:val="left"/>
        <w:rPr>
          <w:sz w:val="24"/>
          <w:szCs w:val="24"/>
        </w:rPr>
      </w:pPr>
    </w:p>
    <w:p>
      <w:pPr>
        <w:pStyle w:val="21"/>
        <w:spacing w:after="0" w:line="360" w:lineRule="exact"/>
        <w:ind w:firstLine="480" w:firstLineChars="200"/>
        <w:jc w:val="left"/>
        <w:rPr>
          <w:sz w:val="24"/>
          <w:szCs w:val="24"/>
        </w:rPr>
      </w:pPr>
      <w:r>
        <w:rPr>
          <w:rFonts w:hint="eastAsia"/>
          <w:sz w:val="24"/>
        </w:rPr>
        <w:t>投标人名称</w:t>
      </w:r>
      <w:r>
        <w:rPr>
          <w:rFonts w:hint="eastAsia"/>
          <w:sz w:val="24"/>
          <w:szCs w:val="24"/>
        </w:rPr>
        <w:t>（加盖公章）：</w:t>
      </w:r>
    </w:p>
    <w:p>
      <w:pPr>
        <w:pStyle w:val="21"/>
        <w:spacing w:after="0" w:line="360" w:lineRule="exact"/>
        <w:ind w:firstLine="480" w:firstLineChars="200"/>
        <w:jc w:val="left"/>
        <w:rPr>
          <w:sz w:val="24"/>
          <w:szCs w:val="24"/>
        </w:rPr>
      </w:pPr>
      <w:r>
        <w:rPr>
          <w:rFonts w:hint="eastAsia"/>
          <w:sz w:val="24"/>
          <w:szCs w:val="24"/>
        </w:rPr>
        <w:t xml:space="preserve">投标人法定代表人或受委托人（签名或盖私章）：  </w:t>
      </w:r>
    </w:p>
    <w:p>
      <w:pPr>
        <w:pStyle w:val="21"/>
        <w:spacing w:after="0" w:line="360" w:lineRule="exact"/>
        <w:ind w:firstLine="480" w:firstLineChars="200"/>
        <w:jc w:val="left"/>
        <w:rPr>
          <w:sz w:val="24"/>
          <w:szCs w:val="24"/>
        </w:rPr>
      </w:pPr>
      <w:r>
        <w:rPr>
          <w:rFonts w:hint="eastAsia"/>
          <w:sz w:val="24"/>
        </w:rPr>
        <w:t>日      期：</w:t>
      </w:r>
    </w:p>
    <w:p>
      <w:pPr>
        <w:spacing w:before="240" w:beforeLines="100" w:after="240" w:afterLines="100"/>
        <w:jc w:val="center"/>
        <w:outlineLvl w:val="1"/>
        <w:rPr>
          <w:rFonts w:ascii="Time New Roma" w:hAnsi="Time New Roma"/>
          <w:b/>
          <w:bCs/>
          <w:sz w:val="44"/>
          <w:szCs w:val="44"/>
        </w:rPr>
      </w:pPr>
      <w:r>
        <w:rPr>
          <w:sz w:val="24"/>
        </w:rPr>
        <w:br w:type="page"/>
      </w:r>
      <w:bookmarkStart w:id="224" w:name="_Toc22802589"/>
      <w:bookmarkStart w:id="225" w:name="_Toc170229675"/>
      <w:bookmarkStart w:id="226" w:name="_Toc92706600"/>
      <w:bookmarkStart w:id="227" w:name="_Toc492591296"/>
      <w:r>
        <w:rPr>
          <w:rFonts w:hint="eastAsia" w:ascii="Time New Roma" w:hAnsi="Time New Roma"/>
          <w:b/>
          <w:bCs/>
          <w:sz w:val="44"/>
          <w:szCs w:val="44"/>
        </w:rPr>
        <w:t>六、商务条款偏离表</w:t>
      </w:r>
      <w:bookmarkEnd w:id="224"/>
      <w:bookmarkEnd w:id="225"/>
      <w:bookmarkEnd w:id="226"/>
      <w:bookmarkEnd w:id="227"/>
    </w:p>
    <w:p>
      <w:pPr>
        <w:spacing w:line="360" w:lineRule="auto"/>
        <w:rPr>
          <w:rFonts w:ascii="Time New Roma" w:hAnsi="Time New Roma"/>
          <w:sz w:val="24"/>
        </w:rPr>
      </w:pPr>
      <w:r>
        <w:rPr>
          <w:rFonts w:hint="eastAsia" w:ascii="Time New Roma" w:hAnsi="Time New Roma"/>
          <w:sz w:val="24"/>
        </w:rPr>
        <w:t>项目名称：</w:t>
      </w:r>
      <w:r>
        <w:rPr>
          <w:rFonts w:hint="eastAsia" w:ascii="Time New Roma" w:hAnsi="Time New Roma"/>
          <w:sz w:val="24"/>
          <w:u w:val="single"/>
        </w:rPr>
        <w:t xml:space="preserve">                          </w:t>
      </w:r>
      <w:r>
        <w:rPr>
          <w:rFonts w:hint="eastAsia" w:ascii="Time New Roma" w:hAnsi="Time New Roma"/>
          <w:sz w:val="24"/>
        </w:rPr>
        <w:t xml:space="preserve"> 采购编号：</w:t>
      </w:r>
      <w:r>
        <w:rPr>
          <w:rFonts w:hint="eastAsia" w:ascii="Time New Roma" w:hAnsi="Time New Roma"/>
          <w:sz w:val="24"/>
          <w:u w:val="single"/>
        </w:rPr>
        <w:t xml:space="preserve">                   </w:t>
      </w:r>
      <w:r>
        <w:rPr>
          <w:rFonts w:hint="eastAsia" w:ascii="Time New Roma" w:hAnsi="Time New Roma"/>
          <w:sz w:val="24"/>
        </w:rPr>
        <w:t xml:space="preserve"> </w:t>
      </w:r>
    </w:p>
    <w:tbl>
      <w:tblPr>
        <w:tblStyle w:val="4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607"/>
        <w:gridCol w:w="2601"/>
        <w:gridCol w:w="110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pPr>
              <w:jc w:val="center"/>
              <w:rPr>
                <w:rFonts w:ascii="Time New Roma" w:hAnsi="Time New Roma"/>
                <w:b/>
                <w:sz w:val="24"/>
              </w:rPr>
            </w:pPr>
            <w:r>
              <w:rPr>
                <w:rFonts w:hint="eastAsia" w:ascii="Time New Roma" w:hAnsi="Time New Roma"/>
                <w:b/>
                <w:sz w:val="24"/>
              </w:rPr>
              <w:t>序号</w:t>
            </w:r>
          </w:p>
        </w:tc>
        <w:tc>
          <w:tcPr>
            <w:tcW w:w="2607" w:type="dxa"/>
            <w:vAlign w:val="center"/>
          </w:tcPr>
          <w:p>
            <w:pPr>
              <w:jc w:val="center"/>
              <w:rPr>
                <w:rFonts w:ascii="Time New Roma" w:hAnsi="Time New Roma"/>
                <w:b/>
                <w:sz w:val="24"/>
              </w:rPr>
            </w:pPr>
            <w:r>
              <w:rPr>
                <w:rFonts w:hint="eastAsia" w:ascii="Time New Roma" w:hAnsi="Time New Roma"/>
                <w:b/>
                <w:sz w:val="24"/>
              </w:rPr>
              <w:t>招标文件商务条款</w:t>
            </w:r>
          </w:p>
        </w:tc>
        <w:tc>
          <w:tcPr>
            <w:tcW w:w="2601" w:type="dxa"/>
            <w:vAlign w:val="center"/>
          </w:tcPr>
          <w:p>
            <w:pPr>
              <w:jc w:val="center"/>
              <w:rPr>
                <w:rFonts w:ascii="Time New Roma" w:hAnsi="Time New Roma"/>
                <w:b/>
                <w:sz w:val="24"/>
              </w:rPr>
            </w:pPr>
            <w:r>
              <w:rPr>
                <w:rFonts w:hint="eastAsia" w:ascii="Time New Roma" w:hAnsi="Time New Roma"/>
                <w:b/>
                <w:sz w:val="24"/>
              </w:rPr>
              <w:t>投标文件商务条款</w:t>
            </w:r>
          </w:p>
        </w:tc>
        <w:tc>
          <w:tcPr>
            <w:tcW w:w="1107" w:type="dxa"/>
            <w:vAlign w:val="center"/>
          </w:tcPr>
          <w:p>
            <w:pPr>
              <w:jc w:val="center"/>
              <w:rPr>
                <w:rFonts w:ascii="Time New Roma" w:hAnsi="Time New Roma"/>
                <w:b/>
                <w:sz w:val="24"/>
              </w:rPr>
            </w:pPr>
            <w:r>
              <w:rPr>
                <w:rFonts w:hint="eastAsia" w:ascii="Time New Roma" w:hAnsi="Time New Roma"/>
                <w:b/>
                <w:sz w:val="24"/>
              </w:rPr>
              <w:t>偏离</w:t>
            </w:r>
          </w:p>
        </w:tc>
        <w:tc>
          <w:tcPr>
            <w:tcW w:w="1105" w:type="dxa"/>
            <w:vAlign w:val="center"/>
          </w:tcPr>
          <w:p>
            <w:pPr>
              <w:jc w:val="center"/>
              <w:rPr>
                <w:rFonts w:ascii="Time New Roma" w:hAnsi="Time New Roma"/>
                <w:b/>
                <w:sz w:val="24"/>
              </w:rPr>
            </w:pPr>
            <w:r>
              <w:rPr>
                <w:rFonts w:hint="eastAsia" w:ascii="Time New Roma" w:hAnsi="Time New Roma"/>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pPr>
              <w:jc w:val="center"/>
              <w:rPr>
                <w:rFonts w:ascii="Time New Roma" w:hAnsi="Time New Roma"/>
                <w:sz w:val="24"/>
              </w:rPr>
            </w:pPr>
          </w:p>
        </w:tc>
        <w:tc>
          <w:tcPr>
            <w:tcW w:w="2607" w:type="dxa"/>
            <w:vAlign w:val="center"/>
          </w:tcPr>
          <w:p>
            <w:pPr>
              <w:jc w:val="center"/>
              <w:rPr>
                <w:rFonts w:ascii="Time New Roma" w:hAnsi="Time New Roma"/>
                <w:sz w:val="24"/>
              </w:rPr>
            </w:pPr>
          </w:p>
        </w:tc>
        <w:tc>
          <w:tcPr>
            <w:tcW w:w="2601" w:type="dxa"/>
            <w:vAlign w:val="center"/>
          </w:tcPr>
          <w:p>
            <w:pPr>
              <w:jc w:val="center"/>
              <w:rPr>
                <w:rFonts w:ascii="Time New Roma" w:hAnsi="Time New Roma"/>
                <w:sz w:val="24"/>
              </w:rPr>
            </w:pPr>
          </w:p>
        </w:tc>
        <w:tc>
          <w:tcPr>
            <w:tcW w:w="1107" w:type="dxa"/>
            <w:vAlign w:val="center"/>
          </w:tcPr>
          <w:p>
            <w:pPr>
              <w:jc w:val="center"/>
              <w:rPr>
                <w:rFonts w:ascii="Time New Roma" w:hAnsi="Time New Roma"/>
                <w:sz w:val="24"/>
              </w:rPr>
            </w:pPr>
          </w:p>
        </w:tc>
        <w:tc>
          <w:tcPr>
            <w:tcW w:w="1105"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pPr>
              <w:jc w:val="center"/>
              <w:rPr>
                <w:rFonts w:ascii="Time New Roma" w:hAnsi="Time New Roma"/>
                <w:sz w:val="24"/>
              </w:rPr>
            </w:pPr>
          </w:p>
        </w:tc>
        <w:tc>
          <w:tcPr>
            <w:tcW w:w="2607" w:type="dxa"/>
            <w:vAlign w:val="center"/>
          </w:tcPr>
          <w:p>
            <w:pPr>
              <w:jc w:val="center"/>
              <w:rPr>
                <w:rFonts w:ascii="Time New Roma" w:hAnsi="Time New Roma"/>
                <w:sz w:val="24"/>
              </w:rPr>
            </w:pPr>
          </w:p>
        </w:tc>
        <w:tc>
          <w:tcPr>
            <w:tcW w:w="2601" w:type="dxa"/>
            <w:vAlign w:val="center"/>
          </w:tcPr>
          <w:p>
            <w:pPr>
              <w:jc w:val="center"/>
              <w:rPr>
                <w:rFonts w:ascii="Time New Roma" w:hAnsi="Time New Roma"/>
                <w:sz w:val="24"/>
              </w:rPr>
            </w:pPr>
          </w:p>
        </w:tc>
        <w:tc>
          <w:tcPr>
            <w:tcW w:w="1107" w:type="dxa"/>
            <w:vAlign w:val="center"/>
          </w:tcPr>
          <w:p>
            <w:pPr>
              <w:jc w:val="center"/>
              <w:rPr>
                <w:rFonts w:ascii="Time New Roma" w:hAnsi="Time New Roma"/>
                <w:sz w:val="24"/>
              </w:rPr>
            </w:pPr>
          </w:p>
        </w:tc>
        <w:tc>
          <w:tcPr>
            <w:tcW w:w="1105"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pPr>
              <w:jc w:val="center"/>
              <w:rPr>
                <w:rFonts w:ascii="Time New Roma" w:hAnsi="Time New Roma"/>
                <w:sz w:val="24"/>
              </w:rPr>
            </w:pPr>
          </w:p>
        </w:tc>
        <w:tc>
          <w:tcPr>
            <w:tcW w:w="2607" w:type="dxa"/>
            <w:vAlign w:val="center"/>
          </w:tcPr>
          <w:p>
            <w:pPr>
              <w:jc w:val="center"/>
              <w:rPr>
                <w:rFonts w:ascii="Time New Roma" w:hAnsi="Time New Roma"/>
                <w:sz w:val="24"/>
              </w:rPr>
            </w:pPr>
          </w:p>
        </w:tc>
        <w:tc>
          <w:tcPr>
            <w:tcW w:w="2601" w:type="dxa"/>
            <w:vAlign w:val="center"/>
          </w:tcPr>
          <w:p>
            <w:pPr>
              <w:jc w:val="center"/>
              <w:rPr>
                <w:rFonts w:ascii="Time New Roma" w:hAnsi="Time New Roma"/>
                <w:sz w:val="24"/>
              </w:rPr>
            </w:pPr>
          </w:p>
        </w:tc>
        <w:tc>
          <w:tcPr>
            <w:tcW w:w="1107" w:type="dxa"/>
            <w:vAlign w:val="center"/>
          </w:tcPr>
          <w:p>
            <w:pPr>
              <w:jc w:val="center"/>
              <w:rPr>
                <w:rFonts w:ascii="Time New Roma" w:hAnsi="Time New Roma"/>
                <w:sz w:val="24"/>
              </w:rPr>
            </w:pPr>
          </w:p>
        </w:tc>
        <w:tc>
          <w:tcPr>
            <w:tcW w:w="1105"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pPr>
              <w:jc w:val="center"/>
              <w:rPr>
                <w:rFonts w:ascii="Time New Roma" w:hAnsi="Time New Roma"/>
                <w:sz w:val="24"/>
              </w:rPr>
            </w:pPr>
          </w:p>
        </w:tc>
        <w:tc>
          <w:tcPr>
            <w:tcW w:w="2607" w:type="dxa"/>
            <w:vAlign w:val="center"/>
          </w:tcPr>
          <w:p>
            <w:pPr>
              <w:jc w:val="center"/>
              <w:rPr>
                <w:rFonts w:ascii="Time New Roma" w:hAnsi="Time New Roma"/>
                <w:sz w:val="24"/>
              </w:rPr>
            </w:pPr>
          </w:p>
        </w:tc>
        <w:tc>
          <w:tcPr>
            <w:tcW w:w="2601" w:type="dxa"/>
            <w:vAlign w:val="center"/>
          </w:tcPr>
          <w:p>
            <w:pPr>
              <w:jc w:val="center"/>
              <w:rPr>
                <w:rFonts w:ascii="Time New Roma" w:hAnsi="Time New Roma"/>
                <w:sz w:val="24"/>
              </w:rPr>
            </w:pPr>
          </w:p>
        </w:tc>
        <w:tc>
          <w:tcPr>
            <w:tcW w:w="1107" w:type="dxa"/>
            <w:vAlign w:val="center"/>
          </w:tcPr>
          <w:p>
            <w:pPr>
              <w:jc w:val="center"/>
              <w:rPr>
                <w:rFonts w:ascii="Time New Roma" w:hAnsi="Time New Roma"/>
                <w:sz w:val="24"/>
              </w:rPr>
            </w:pPr>
          </w:p>
        </w:tc>
        <w:tc>
          <w:tcPr>
            <w:tcW w:w="1105"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pPr>
              <w:jc w:val="center"/>
              <w:rPr>
                <w:rFonts w:ascii="Time New Roma" w:hAnsi="Time New Roma"/>
                <w:sz w:val="24"/>
              </w:rPr>
            </w:pPr>
          </w:p>
        </w:tc>
        <w:tc>
          <w:tcPr>
            <w:tcW w:w="2607" w:type="dxa"/>
            <w:vAlign w:val="center"/>
          </w:tcPr>
          <w:p>
            <w:pPr>
              <w:jc w:val="center"/>
              <w:rPr>
                <w:rFonts w:ascii="Time New Roma" w:hAnsi="Time New Roma"/>
                <w:sz w:val="24"/>
              </w:rPr>
            </w:pPr>
          </w:p>
        </w:tc>
        <w:tc>
          <w:tcPr>
            <w:tcW w:w="2601" w:type="dxa"/>
            <w:vAlign w:val="center"/>
          </w:tcPr>
          <w:p>
            <w:pPr>
              <w:jc w:val="center"/>
              <w:rPr>
                <w:rFonts w:ascii="Time New Roma" w:hAnsi="Time New Roma"/>
                <w:sz w:val="24"/>
              </w:rPr>
            </w:pPr>
          </w:p>
        </w:tc>
        <w:tc>
          <w:tcPr>
            <w:tcW w:w="1107" w:type="dxa"/>
            <w:vAlign w:val="center"/>
          </w:tcPr>
          <w:p>
            <w:pPr>
              <w:jc w:val="center"/>
              <w:rPr>
                <w:rFonts w:ascii="Time New Roma" w:hAnsi="Time New Roma"/>
                <w:sz w:val="24"/>
              </w:rPr>
            </w:pPr>
          </w:p>
        </w:tc>
        <w:tc>
          <w:tcPr>
            <w:tcW w:w="1105"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pPr>
              <w:jc w:val="center"/>
              <w:rPr>
                <w:rFonts w:ascii="Time New Roma" w:hAnsi="Time New Roma"/>
                <w:sz w:val="24"/>
              </w:rPr>
            </w:pPr>
          </w:p>
        </w:tc>
        <w:tc>
          <w:tcPr>
            <w:tcW w:w="2607" w:type="dxa"/>
            <w:vAlign w:val="center"/>
          </w:tcPr>
          <w:p>
            <w:pPr>
              <w:jc w:val="center"/>
              <w:rPr>
                <w:rFonts w:ascii="Time New Roma" w:hAnsi="Time New Roma"/>
                <w:sz w:val="24"/>
              </w:rPr>
            </w:pPr>
          </w:p>
        </w:tc>
        <w:tc>
          <w:tcPr>
            <w:tcW w:w="2601" w:type="dxa"/>
            <w:vAlign w:val="center"/>
          </w:tcPr>
          <w:p>
            <w:pPr>
              <w:jc w:val="center"/>
              <w:rPr>
                <w:rFonts w:ascii="Time New Roma" w:hAnsi="Time New Roma"/>
                <w:sz w:val="24"/>
              </w:rPr>
            </w:pPr>
          </w:p>
        </w:tc>
        <w:tc>
          <w:tcPr>
            <w:tcW w:w="1107" w:type="dxa"/>
            <w:vAlign w:val="center"/>
          </w:tcPr>
          <w:p>
            <w:pPr>
              <w:jc w:val="center"/>
              <w:rPr>
                <w:rFonts w:ascii="Time New Roma" w:hAnsi="Time New Roma"/>
                <w:sz w:val="24"/>
              </w:rPr>
            </w:pPr>
          </w:p>
        </w:tc>
        <w:tc>
          <w:tcPr>
            <w:tcW w:w="1105"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pPr>
              <w:jc w:val="center"/>
              <w:rPr>
                <w:rFonts w:ascii="Time New Roma" w:hAnsi="Time New Roma"/>
                <w:sz w:val="24"/>
              </w:rPr>
            </w:pPr>
          </w:p>
        </w:tc>
        <w:tc>
          <w:tcPr>
            <w:tcW w:w="2607" w:type="dxa"/>
            <w:vAlign w:val="center"/>
          </w:tcPr>
          <w:p>
            <w:pPr>
              <w:jc w:val="center"/>
              <w:rPr>
                <w:rFonts w:ascii="Time New Roma" w:hAnsi="Time New Roma"/>
                <w:sz w:val="24"/>
              </w:rPr>
            </w:pPr>
          </w:p>
        </w:tc>
        <w:tc>
          <w:tcPr>
            <w:tcW w:w="2601" w:type="dxa"/>
            <w:vAlign w:val="center"/>
          </w:tcPr>
          <w:p>
            <w:pPr>
              <w:jc w:val="center"/>
              <w:rPr>
                <w:rFonts w:ascii="Time New Roma" w:hAnsi="Time New Roma"/>
                <w:sz w:val="24"/>
              </w:rPr>
            </w:pPr>
          </w:p>
        </w:tc>
        <w:tc>
          <w:tcPr>
            <w:tcW w:w="1107" w:type="dxa"/>
            <w:vAlign w:val="center"/>
          </w:tcPr>
          <w:p>
            <w:pPr>
              <w:jc w:val="center"/>
              <w:rPr>
                <w:rFonts w:ascii="Time New Roma" w:hAnsi="Time New Roma"/>
                <w:sz w:val="24"/>
              </w:rPr>
            </w:pPr>
          </w:p>
        </w:tc>
        <w:tc>
          <w:tcPr>
            <w:tcW w:w="1105"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pPr>
              <w:jc w:val="center"/>
              <w:rPr>
                <w:rFonts w:ascii="Time New Roma" w:hAnsi="Time New Roma"/>
                <w:sz w:val="24"/>
              </w:rPr>
            </w:pPr>
          </w:p>
        </w:tc>
        <w:tc>
          <w:tcPr>
            <w:tcW w:w="2607" w:type="dxa"/>
            <w:vAlign w:val="center"/>
          </w:tcPr>
          <w:p>
            <w:pPr>
              <w:jc w:val="center"/>
              <w:rPr>
                <w:rFonts w:ascii="Time New Roma" w:hAnsi="Time New Roma"/>
                <w:sz w:val="24"/>
              </w:rPr>
            </w:pPr>
          </w:p>
        </w:tc>
        <w:tc>
          <w:tcPr>
            <w:tcW w:w="2601" w:type="dxa"/>
            <w:vAlign w:val="center"/>
          </w:tcPr>
          <w:p>
            <w:pPr>
              <w:jc w:val="center"/>
              <w:rPr>
                <w:rFonts w:ascii="Time New Roma" w:hAnsi="Time New Roma"/>
                <w:sz w:val="24"/>
              </w:rPr>
            </w:pPr>
          </w:p>
        </w:tc>
        <w:tc>
          <w:tcPr>
            <w:tcW w:w="1107" w:type="dxa"/>
            <w:vAlign w:val="center"/>
          </w:tcPr>
          <w:p>
            <w:pPr>
              <w:jc w:val="center"/>
              <w:rPr>
                <w:rFonts w:ascii="Time New Roma" w:hAnsi="Time New Roma"/>
                <w:sz w:val="24"/>
              </w:rPr>
            </w:pPr>
          </w:p>
        </w:tc>
        <w:tc>
          <w:tcPr>
            <w:tcW w:w="1105"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pPr>
              <w:jc w:val="center"/>
              <w:rPr>
                <w:rFonts w:ascii="Time New Roma" w:hAnsi="Time New Roma"/>
                <w:sz w:val="24"/>
              </w:rPr>
            </w:pPr>
          </w:p>
        </w:tc>
        <w:tc>
          <w:tcPr>
            <w:tcW w:w="2607" w:type="dxa"/>
            <w:vAlign w:val="center"/>
          </w:tcPr>
          <w:p>
            <w:pPr>
              <w:jc w:val="center"/>
              <w:rPr>
                <w:rFonts w:ascii="Time New Roma" w:hAnsi="Time New Roma"/>
                <w:sz w:val="24"/>
              </w:rPr>
            </w:pPr>
          </w:p>
        </w:tc>
        <w:tc>
          <w:tcPr>
            <w:tcW w:w="2601" w:type="dxa"/>
            <w:vAlign w:val="center"/>
          </w:tcPr>
          <w:p>
            <w:pPr>
              <w:jc w:val="center"/>
              <w:rPr>
                <w:rFonts w:ascii="Time New Roma" w:hAnsi="Time New Roma"/>
                <w:sz w:val="24"/>
              </w:rPr>
            </w:pPr>
          </w:p>
        </w:tc>
        <w:tc>
          <w:tcPr>
            <w:tcW w:w="1107" w:type="dxa"/>
            <w:vAlign w:val="center"/>
          </w:tcPr>
          <w:p>
            <w:pPr>
              <w:jc w:val="center"/>
              <w:rPr>
                <w:rFonts w:ascii="Time New Roma" w:hAnsi="Time New Roma"/>
                <w:sz w:val="24"/>
              </w:rPr>
            </w:pPr>
          </w:p>
        </w:tc>
        <w:tc>
          <w:tcPr>
            <w:tcW w:w="1105" w:type="dxa"/>
            <w:vAlign w:val="center"/>
          </w:tcPr>
          <w:p>
            <w:pPr>
              <w:jc w:val="center"/>
              <w:rPr>
                <w:rFonts w:ascii="Time New Roma" w:hAnsi="Time New Roma"/>
                <w:sz w:val="24"/>
              </w:rPr>
            </w:pPr>
          </w:p>
        </w:tc>
      </w:tr>
    </w:tbl>
    <w:p>
      <w:pPr>
        <w:ind w:firstLine="480" w:firstLineChars="200"/>
        <w:jc w:val="left"/>
        <w:rPr>
          <w:rFonts w:ascii="Time New Roma" w:hAnsi="Time New Roma"/>
          <w:sz w:val="24"/>
        </w:rPr>
      </w:pPr>
    </w:p>
    <w:p>
      <w:pPr>
        <w:spacing w:line="360" w:lineRule="exact"/>
        <w:jc w:val="left"/>
        <w:rPr>
          <w:rFonts w:ascii="Time New Roma" w:hAnsi="Time New Roma"/>
          <w:sz w:val="24"/>
        </w:rPr>
      </w:pPr>
      <w:r>
        <w:rPr>
          <w:rFonts w:hint="eastAsia" w:ascii="Time New Roma" w:hAnsi="Time New Roma"/>
          <w:sz w:val="24"/>
        </w:rPr>
        <w:t>注：</w:t>
      </w:r>
    </w:p>
    <w:p>
      <w:pPr>
        <w:spacing w:line="360" w:lineRule="exact"/>
        <w:ind w:firstLine="480" w:firstLineChars="200"/>
        <w:jc w:val="left"/>
        <w:rPr>
          <w:rFonts w:ascii="Time New Roma" w:hAnsi="Time New Roma"/>
          <w:sz w:val="24"/>
        </w:rPr>
      </w:pPr>
      <w:r>
        <w:rPr>
          <w:rFonts w:hint="eastAsia" w:ascii="Time New Roma" w:hAnsi="Time New Roma"/>
          <w:sz w:val="24"/>
        </w:rPr>
        <w:t>1、投标人应对照招标文件商务要求，在“偏离”项中填写“正”、“负”或“无”，逐条说明已对招标文件的商务内容做出了实质性的响应（</w:t>
      </w:r>
      <w:r>
        <w:rPr>
          <w:rFonts w:hint="eastAsia" w:ascii="Time New Roma" w:hAnsi="Time New Roma"/>
          <w:b/>
          <w:sz w:val="24"/>
        </w:rPr>
        <w:t>★号参数必须完全响应，不响应或负偏离将导致投标无效</w:t>
      </w:r>
      <w:r>
        <w:rPr>
          <w:rFonts w:hint="eastAsia" w:ascii="Time New Roma" w:hAnsi="Time New Roma"/>
          <w:sz w:val="24"/>
        </w:rPr>
        <w:t>），并申明与招标文件的偏差和例外。</w:t>
      </w:r>
    </w:p>
    <w:p>
      <w:pPr>
        <w:spacing w:line="360" w:lineRule="exact"/>
        <w:ind w:firstLine="480" w:firstLineChars="200"/>
        <w:jc w:val="left"/>
        <w:rPr>
          <w:rFonts w:ascii="Time New Roma" w:hAnsi="Time New Roma"/>
          <w:sz w:val="24"/>
        </w:rPr>
      </w:pPr>
      <w:r>
        <w:rPr>
          <w:rFonts w:hint="eastAsia" w:ascii="Time New Roma" w:hAnsi="Time New Roma"/>
          <w:sz w:val="24"/>
        </w:rPr>
        <w:t>2、商务条款包括但不限于</w:t>
      </w:r>
      <w:r>
        <w:rPr>
          <w:rFonts w:hint="eastAsia" w:ascii="Time New Roma" w:hAnsi="Time New Roma"/>
          <w:b/>
          <w:sz w:val="24"/>
          <w:u w:val="single"/>
        </w:rPr>
        <w:t>供应商资格要求、付款方式、报价要求、服务周期、保密要求、履约保证金要求等</w:t>
      </w:r>
      <w:r>
        <w:rPr>
          <w:rFonts w:hint="eastAsia" w:ascii="Time New Roma" w:hAnsi="Time New Roma"/>
          <w:sz w:val="24"/>
        </w:rPr>
        <w:t>要求。</w:t>
      </w:r>
    </w:p>
    <w:p>
      <w:pPr>
        <w:spacing w:line="360" w:lineRule="exact"/>
        <w:ind w:firstLine="480" w:firstLineChars="200"/>
        <w:jc w:val="left"/>
        <w:rPr>
          <w:rFonts w:ascii="Time New Roma" w:hAnsi="Time New Roma"/>
          <w:sz w:val="24"/>
        </w:rPr>
      </w:pPr>
    </w:p>
    <w:p>
      <w:pPr>
        <w:spacing w:line="360" w:lineRule="exact"/>
        <w:ind w:firstLine="480" w:firstLineChars="200"/>
        <w:jc w:val="left"/>
        <w:rPr>
          <w:rFonts w:ascii="Time New Roma" w:hAnsi="Time New Roma"/>
          <w:sz w:val="24"/>
        </w:rPr>
      </w:pPr>
    </w:p>
    <w:p>
      <w:pPr>
        <w:spacing w:line="360" w:lineRule="exact"/>
        <w:ind w:firstLine="480" w:firstLineChars="200"/>
        <w:jc w:val="left"/>
        <w:rPr>
          <w:rFonts w:ascii="Time New Roma" w:hAnsi="Time New Roma"/>
          <w:sz w:val="24"/>
        </w:rPr>
      </w:pPr>
    </w:p>
    <w:p>
      <w:pPr>
        <w:pStyle w:val="21"/>
        <w:spacing w:after="0" w:line="360" w:lineRule="exact"/>
        <w:ind w:firstLine="480" w:firstLineChars="200"/>
        <w:jc w:val="left"/>
        <w:rPr>
          <w:rFonts w:ascii="Time New Roma" w:hAnsi="Time New Roma"/>
          <w:sz w:val="24"/>
          <w:szCs w:val="24"/>
        </w:rPr>
      </w:pPr>
      <w:r>
        <w:rPr>
          <w:rFonts w:hint="eastAsia" w:ascii="Time New Roma" w:hAnsi="Time New Roma"/>
          <w:sz w:val="24"/>
          <w:szCs w:val="24"/>
        </w:rPr>
        <w:t>投标人名称（加盖公章）：</w:t>
      </w:r>
    </w:p>
    <w:p>
      <w:pPr>
        <w:pStyle w:val="21"/>
        <w:spacing w:after="0" w:line="360" w:lineRule="exact"/>
        <w:ind w:firstLine="480" w:firstLineChars="200"/>
        <w:jc w:val="left"/>
        <w:rPr>
          <w:rFonts w:ascii="Time New Roma" w:hAnsi="Time New Roma"/>
          <w:sz w:val="24"/>
          <w:szCs w:val="24"/>
        </w:rPr>
      </w:pPr>
      <w:r>
        <w:rPr>
          <w:rFonts w:hint="eastAsia" w:ascii="Time New Roma" w:hAnsi="Time New Roma"/>
          <w:sz w:val="24"/>
          <w:szCs w:val="24"/>
        </w:rPr>
        <w:t>投标人法定代表人或受委托人（签名或盖私章）：</w:t>
      </w:r>
    </w:p>
    <w:p>
      <w:pPr>
        <w:spacing w:line="360" w:lineRule="exact"/>
        <w:ind w:firstLine="480" w:firstLineChars="200"/>
        <w:jc w:val="left"/>
        <w:rPr>
          <w:rFonts w:ascii="Time New Roma" w:hAnsi="Time New Roma"/>
          <w:sz w:val="24"/>
        </w:rPr>
      </w:pPr>
      <w:r>
        <w:rPr>
          <w:rFonts w:hint="eastAsia" w:ascii="Time New Roma" w:hAnsi="Time New Roma"/>
          <w:sz w:val="24"/>
        </w:rPr>
        <w:t>日      期：</w:t>
      </w:r>
    </w:p>
    <w:p>
      <w:pPr>
        <w:rPr>
          <w:rFonts w:ascii="Time New Roma" w:hAnsi="Time New Roma"/>
        </w:rPr>
      </w:pPr>
    </w:p>
    <w:p>
      <w:pPr>
        <w:rPr>
          <w:rFonts w:ascii="Time New Roma" w:hAnsi="Time New Roma"/>
        </w:rPr>
      </w:pPr>
    </w:p>
    <w:p>
      <w:pPr>
        <w:spacing w:before="240" w:beforeLines="100" w:after="240" w:afterLines="100"/>
        <w:jc w:val="center"/>
        <w:outlineLvl w:val="1"/>
        <w:rPr>
          <w:rFonts w:ascii="Time New Roma" w:hAnsi="Time New Roma"/>
          <w:sz w:val="24"/>
        </w:rPr>
      </w:pPr>
      <w:r>
        <w:rPr>
          <w:rFonts w:ascii="Time New Roma" w:hAnsi="Time New Roma"/>
          <w:sz w:val="24"/>
        </w:rPr>
        <w:br w:type="page"/>
      </w:r>
      <w:bookmarkStart w:id="228" w:name="_Toc492591297"/>
      <w:bookmarkStart w:id="229" w:name="_Toc170229676"/>
      <w:bookmarkStart w:id="230" w:name="_Toc392492040"/>
      <w:bookmarkStart w:id="231" w:name="_Toc92706601"/>
      <w:bookmarkStart w:id="232" w:name="_Toc22802590"/>
      <w:bookmarkStart w:id="233" w:name="_Toc380055649"/>
      <w:r>
        <w:rPr>
          <w:rFonts w:hint="eastAsia" w:ascii="Time New Roma" w:hAnsi="Time New Roma"/>
          <w:b/>
          <w:bCs/>
          <w:sz w:val="44"/>
          <w:szCs w:val="44"/>
        </w:rPr>
        <w:t>七、服务方案</w:t>
      </w:r>
      <w:bookmarkEnd w:id="228"/>
      <w:bookmarkEnd w:id="229"/>
      <w:bookmarkEnd w:id="230"/>
      <w:bookmarkEnd w:id="231"/>
      <w:bookmarkEnd w:id="232"/>
    </w:p>
    <w:p>
      <w:pPr>
        <w:spacing w:line="360" w:lineRule="auto"/>
        <w:rPr>
          <w:rFonts w:ascii="Time New Roma" w:hAnsi="Time New Roma"/>
          <w:sz w:val="24"/>
        </w:rPr>
      </w:pPr>
      <w:r>
        <w:rPr>
          <w:rFonts w:hint="eastAsia" w:ascii="Time New Roma" w:hAnsi="Time New Roma"/>
          <w:sz w:val="24"/>
        </w:rPr>
        <w:t>项目名称：</w:t>
      </w:r>
      <w:r>
        <w:rPr>
          <w:rFonts w:hint="eastAsia" w:ascii="Time New Roma" w:hAnsi="Time New Roma"/>
          <w:sz w:val="24"/>
          <w:u w:val="single"/>
        </w:rPr>
        <w:t xml:space="preserve">                          </w:t>
      </w:r>
      <w:r>
        <w:rPr>
          <w:rFonts w:hint="eastAsia" w:ascii="Time New Roma" w:hAnsi="Time New Roma"/>
          <w:sz w:val="24"/>
        </w:rPr>
        <w:t xml:space="preserve"> 采购编号：</w:t>
      </w:r>
      <w:r>
        <w:rPr>
          <w:rFonts w:hint="eastAsia" w:ascii="Time New Roma" w:hAnsi="Time New Roma"/>
          <w:sz w:val="24"/>
          <w:u w:val="single"/>
        </w:rPr>
        <w:t xml:space="preserve">                   </w:t>
      </w:r>
      <w:r>
        <w:rPr>
          <w:rFonts w:hint="eastAsia" w:ascii="Time New Roma" w:hAnsi="Time New Roma"/>
          <w:sz w:val="24"/>
        </w:rPr>
        <w:t xml:space="preserve"> </w:t>
      </w:r>
    </w:p>
    <w:p>
      <w:pPr>
        <w:spacing w:line="440" w:lineRule="exact"/>
        <w:ind w:firstLine="480" w:firstLineChars="200"/>
        <w:rPr>
          <w:rFonts w:ascii="Time New Roma" w:hAnsi="Time New Roma"/>
          <w:sz w:val="24"/>
        </w:rPr>
      </w:pPr>
    </w:p>
    <w:p>
      <w:pPr>
        <w:spacing w:line="440" w:lineRule="exact"/>
        <w:ind w:firstLine="480" w:firstLineChars="200"/>
        <w:jc w:val="left"/>
        <w:rPr>
          <w:rFonts w:ascii="Time New Roma" w:hAnsi="Time New Roma"/>
          <w:bCs/>
          <w:sz w:val="24"/>
        </w:rPr>
      </w:pPr>
      <w:r>
        <w:rPr>
          <w:rFonts w:hint="eastAsia" w:ascii="Time New Roma" w:hAnsi="Time New Roma"/>
          <w:bCs/>
          <w:sz w:val="24"/>
        </w:rPr>
        <w:t>注：投标人根据用户需求书编写，格式自拟。</w:t>
      </w:r>
    </w:p>
    <w:p>
      <w:pPr>
        <w:spacing w:line="440" w:lineRule="exact"/>
        <w:ind w:firstLine="480" w:firstLineChars="200"/>
        <w:jc w:val="left"/>
        <w:rPr>
          <w:rFonts w:ascii="Time New Roma" w:hAnsi="Time New Roma"/>
          <w:bCs/>
          <w:sz w:val="24"/>
        </w:rPr>
      </w:pPr>
    </w:p>
    <w:p>
      <w:pPr>
        <w:tabs>
          <w:tab w:val="left" w:pos="1500"/>
        </w:tabs>
        <w:ind w:firstLine="480" w:firstLineChars="200"/>
        <w:rPr>
          <w:rFonts w:ascii="Time New Roma" w:hAnsi="Time New Roma"/>
          <w:sz w:val="24"/>
        </w:rPr>
      </w:pPr>
    </w:p>
    <w:p>
      <w:pPr>
        <w:pStyle w:val="21"/>
        <w:spacing w:after="0" w:line="360" w:lineRule="exact"/>
        <w:ind w:firstLine="480" w:firstLineChars="200"/>
        <w:jc w:val="left"/>
        <w:rPr>
          <w:rFonts w:ascii="Time New Roma" w:hAnsi="Time New Roma"/>
          <w:sz w:val="24"/>
          <w:szCs w:val="24"/>
        </w:rPr>
      </w:pPr>
    </w:p>
    <w:p>
      <w:pPr>
        <w:pStyle w:val="21"/>
        <w:spacing w:after="0" w:line="360" w:lineRule="exact"/>
        <w:ind w:firstLine="480" w:firstLineChars="200"/>
        <w:jc w:val="left"/>
        <w:rPr>
          <w:rFonts w:ascii="Time New Roma" w:hAnsi="Time New Roma"/>
          <w:sz w:val="24"/>
          <w:szCs w:val="24"/>
        </w:rPr>
      </w:pPr>
      <w:r>
        <w:rPr>
          <w:rFonts w:hint="eastAsia" w:ascii="Time New Roma" w:hAnsi="Time New Roma"/>
          <w:sz w:val="24"/>
          <w:szCs w:val="24"/>
        </w:rPr>
        <w:t>投标人名称（加盖公章）：</w:t>
      </w:r>
    </w:p>
    <w:p>
      <w:pPr>
        <w:pStyle w:val="21"/>
        <w:spacing w:after="0" w:line="360" w:lineRule="exact"/>
        <w:ind w:firstLine="480" w:firstLineChars="200"/>
        <w:jc w:val="left"/>
        <w:rPr>
          <w:rFonts w:ascii="Time New Roma" w:hAnsi="Time New Roma"/>
          <w:sz w:val="24"/>
          <w:szCs w:val="24"/>
        </w:rPr>
      </w:pPr>
      <w:r>
        <w:rPr>
          <w:rFonts w:hint="eastAsia" w:ascii="Time New Roma" w:hAnsi="Time New Roma"/>
          <w:sz w:val="24"/>
          <w:szCs w:val="24"/>
        </w:rPr>
        <w:t>投标人法定代表人或受委托人（签名或盖私章）：</w:t>
      </w:r>
    </w:p>
    <w:p>
      <w:pPr>
        <w:spacing w:line="360" w:lineRule="exact"/>
        <w:ind w:firstLine="480" w:firstLineChars="200"/>
        <w:jc w:val="left"/>
        <w:rPr>
          <w:rFonts w:ascii="Time New Roma" w:hAnsi="Time New Roma"/>
          <w:sz w:val="24"/>
        </w:rPr>
      </w:pPr>
      <w:r>
        <w:rPr>
          <w:rFonts w:hint="eastAsia" w:ascii="Time New Roma" w:hAnsi="Time New Roma"/>
          <w:sz w:val="24"/>
        </w:rPr>
        <w:t>日      期：</w:t>
      </w:r>
    </w:p>
    <w:p>
      <w:pPr>
        <w:spacing w:line="440" w:lineRule="exact"/>
        <w:ind w:firstLine="480" w:firstLineChars="200"/>
        <w:jc w:val="left"/>
        <w:rPr>
          <w:rFonts w:ascii="Time New Roma" w:hAnsi="Time New Roma"/>
          <w:sz w:val="24"/>
        </w:rPr>
      </w:pPr>
    </w:p>
    <w:p>
      <w:pPr>
        <w:spacing w:before="240" w:beforeLines="100" w:after="240" w:afterLines="100"/>
        <w:rPr>
          <w:rFonts w:ascii="Time New Roma" w:hAnsi="Time New Roma"/>
          <w:sz w:val="24"/>
        </w:rPr>
      </w:pPr>
      <w:r>
        <w:rPr>
          <w:rFonts w:ascii="Time New Roma" w:hAnsi="Time New Roma"/>
          <w:sz w:val="24"/>
        </w:rPr>
        <w:br w:type="page"/>
      </w:r>
      <w:r>
        <w:rPr>
          <w:rFonts w:hint="eastAsia" w:ascii="Time New Roma" w:hAnsi="Time New Roma"/>
          <w:sz w:val="24"/>
        </w:rPr>
        <w:t>附件7-1：</w:t>
      </w:r>
    </w:p>
    <w:p>
      <w:pPr>
        <w:spacing w:before="240" w:beforeLines="100" w:after="240" w:afterLines="100"/>
        <w:jc w:val="center"/>
        <w:rPr>
          <w:rFonts w:ascii="Time New Roma" w:hAnsi="Time New Roma"/>
          <w:sz w:val="24"/>
        </w:rPr>
      </w:pPr>
      <w:r>
        <w:rPr>
          <w:rFonts w:hint="eastAsia" w:ascii="Time New Roma" w:hAnsi="Time New Roma"/>
          <w:b/>
          <w:bCs/>
          <w:sz w:val="44"/>
          <w:szCs w:val="44"/>
        </w:rPr>
        <w:t>拟安排本项目技术人员情况表</w:t>
      </w:r>
    </w:p>
    <w:tbl>
      <w:tblPr>
        <w:tblStyle w:val="4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586"/>
        <w:gridCol w:w="1237"/>
        <w:gridCol w:w="587"/>
        <w:gridCol w:w="587"/>
        <w:gridCol w:w="846"/>
        <w:gridCol w:w="652"/>
        <w:gridCol w:w="846"/>
        <w:gridCol w:w="2018"/>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vAlign w:val="center"/>
          </w:tcPr>
          <w:p>
            <w:pPr>
              <w:jc w:val="center"/>
              <w:rPr>
                <w:rFonts w:ascii="Time New Roma" w:hAnsi="Time New Roma"/>
                <w:sz w:val="24"/>
              </w:rPr>
            </w:pPr>
            <w:r>
              <w:rPr>
                <w:rFonts w:hint="eastAsia" w:ascii="Time New Roma" w:hAnsi="Time New Roma"/>
                <w:sz w:val="24"/>
              </w:rPr>
              <w:t>序号</w:t>
            </w:r>
          </w:p>
        </w:tc>
        <w:tc>
          <w:tcPr>
            <w:tcW w:w="586" w:type="dxa"/>
            <w:vAlign w:val="center"/>
          </w:tcPr>
          <w:p>
            <w:pPr>
              <w:jc w:val="center"/>
              <w:rPr>
                <w:rFonts w:ascii="Time New Roma" w:hAnsi="Time New Roma"/>
                <w:sz w:val="24"/>
              </w:rPr>
            </w:pPr>
            <w:r>
              <w:rPr>
                <w:rFonts w:hint="eastAsia" w:ascii="Time New Roma" w:hAnsi="Time New Roma"/>
                <w:sz w:val="24"/>
              </w:rPr>
              <w:t>姓名</w:t>
            </w:r>
          </w:p>
        </w:tc>
        <w:tc>
          <w:tcPr>
            <w:tcW w:w="1237" w:type="dxa"/>
            <w:vAlign w:val="center"/>
          </w:tcPr>
          <w:p>
            <w:pPr>
              <w:jc w:val="center"/>
              <w:rPr>
                <w:rFonts w:ascii="Time New Roma" w:hAnsi="Time New Roma"/>
                <w:sz w:val="24"/>
              </w:rPr>
            </w:pPr>
            <w:r>
              <w:rPr>
                <w:rFonts w:hint="eastAsia" w:ascii="Time New Roma" w:hAnsi="Time New Roma"/>
                <w:sz w:val="24"/>
              </w:rPr>
              <w:t>本工程拟任岗位</w:t>
            </w:r>
          </w:p>
        </w:tc>
        <w:tc>
          <w:tcPr>
            <w:tcW w:w="587" w:type="dxa"/>
            <w:vAlign w:val="center"/>
          </w:tcPr>
          <w:p>
            <w:pPr>
              <w:jc w:val="center"/>
              <w:rPr>
                <w:rFonts w:ascii="Time New Roma" w:hAnsi="Time New Roma"/>
                <w:sz w:val="24"/>
              </w:rPr>
            </w:pPr>
            <w:r>
              <w:rPr>
                <w:rFonts w:hint="eastAsia" w:ascii="Time New Roma" w:hAnsi="Time New Roma"/>
                <w:sz w:val="24"/>
              </w:rPr>
              <w:t>性别</w:t>
            </w:r>
          </w:p>
        </w:tc>
        <w:tc>
          <w:tcPr>
            <w:tcW w:w="587" w:type="dxa"/>
            <w:vAlign w:val="center"/>
          </w:tcPr>
          <w:p>
            <w:pPr>
              <w:jc w:val="center"/>
              <w:rPr>
                <w:rFonts w:ascii="Time New Roma" w:hAnsi="Time New Roma"/>
                <w:sz w:val="24"/>
              </w:rPr>
            </w:pPr>
            <w:r>
              <w:rPr>
                <w:rFonts w:hint="eastAsia" w:ascii="Time New Roma" w:hAnsi="Time New Roma"/>
                <w:sz w:val="24"/>
              </w:rPr>
              <w:t>年龄</w:t>
            </w:r>
          </w:p>
        </w:tc>
        <w:tc>
          <w:tcPr>
            <w:tcW w:w="846" w:type="dxa"/>
            <w:vAlign w:val="center"/>
          </w:tcPr>
          <w:p>
            <w:pPr>
              <w:jc w:val="center"/>
              <w:rPr>
                <w:rFonts w:ascii="Time New Roma" w:hAnsi="Time New Roma"/>
                <w:sz w:val="24"/>
              </w:rPr>
            </w:pPr>
            <w:r>
              <w:rPr>
                <w:rFonts w:hint="eastAsia" w:ascii="Time New Roma" w:hAnsi="Time New Roma"/>
                <w:sz w:val="24"/>
              </w:rPr>
              <w:t>技术职称</w:t>
            </w:r>
          </w:p>
        </w:tc>
        <w:tc>
          <w:tcPr>
            <w:tcW w:w="652" w:type="dxa"/>
            <w:vAlign w:val="center"/>
          </w:tcPr>
          <w:p>
            <w:pPr>
              <w:jc w:val="center"/>
              <w:rPr>
                <w:rFonts w:ascii="Time New Roma" w:hAnsi="Time New Roma"/>
                <w:sz w:val="24"/>
              </w:rPr>
            </w:pPr>
            <w:r>
              <w:rPr>
                <w:rFonts w:hint="eastAsia" w:ascii="Time New Roma" w:hAnsi="Time New Roma"/>
                <w:sz w:val="24"/>
              </w:rPr>
              <w:t>专 业</w:t>
            </w:r>
          </w:p>
        </w:tc>
        <w:tc>
          <w:tcPr>
            <w:tcW w:w="846" w:type="dxa"/>
            <w:vAlign w:val="center"/>
          </w:tcPr>
          <w:p>
            <w:pPr>
              <w:jc w:val="center"/>
              <w:rPr>
                <w:rFonts w:ascii="Time New Roma" w:hAnsi="Time New Roma"/>
                <w:sz w:val="24"/>
              </w:rPr>
            </w:pPr>
            <w:r>
              <w:rPr>
                <w:rFonts w:hint="eastAsia" w:ascii="Time New Roma" w:hAnsi="Time New Roma"/>
                <w:sz w:val="24"/>
              </w:rPr>
              <w:t>资质证书</w:t>
            </w:r>
          </w:p>
        </w:tc>
        <w:tc>
          <w:tcPr>
            <w:tcW w:w="2018" w:type="dxa"/>
            <w:vAlign w:val="center"/>
          </w:tcPr>
          <w:p>
            <w:pPr>
              <w:jc w:val="center"/>
              <w:rPr>
                <w:rFonts w:ascii="Time New Roma" w:hAnsi="Time New Roma"/>
                <w:sz w:val="24"/>
              </w:rPr>
            </w:pPr>
            <w:r>
              <w:rPr>
                <w:rFonts w:hint="eastAsia" w:ascii="Time New Roma" w:hAnsi="Time New Roma"/>
                <w:sz w:val="24"/>
              </w:rPr>
              <w:t>主要资历及承担过的类似项目</w:t>
            </w:r>
          </w:p>
        </w:tc>
        <w:tc>
          <w:tcPr>
            <w:tcW w:w="583" w:type="dxa"/>
            <w:tcBorders>
              <w:right w:val="single" w:color="auto" w:sz="6" w:space="0"/>
            </w:tcBorders>
            <w:vAlign w:val="center"/>
          </w:tcPr>
          <w:p>
            <w:pPr>
              <w:jc w:val="center"/>
              <w:rPr>
                <w:rFonts w:ascii="Time New Roma" w:hAnsi="Time New Roma"/>
                <w:sz w:val="24"/>
              </w:rPr>
            </w:pPr>
            <w:r>
              <w:rPr>
                <w:rFonts w:hint="eastAsia" w:ascii="Time New Roma" w:hAnsi="Time New Rom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spacing w:line="288" w:lineRule="auto"/>
              <w:rPr>
                <w:rFonts w:ascii="Time New Roma" w:hAnsi="Time New Roma"/>
                <w:sz w:val="24"/>
              </w:rPr>
            </w:pPr>
          </w:p>
        </w:tc>
        <w:tc>
          <w:tcPr>
            <w:tcW w:w="586" w:type="dxa"/>
          </w:tcPr>
          <w:p>
            <w:pPr>
              <w:spacing w:line="288" w:lineRule="auto"/>
              <w:rPr>
                <w:rFonts w:ascii="Time New Roma" w:hAnsi="Time New Roma"/>
                <w:sz w:val="24"/>
              </w:rPr>
            </w:pPr>
          </w:p>
        </w:tc>
        <w:tc>
          <w:tcPr>
            <w:tcW w:w="123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652"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2018" w:type="dxa"/>
          </w:tcPr>
          <w:p>
            <w:pPr>
              <w:spacing w:line="288" w:lineRule="auto"/>
              <w:rPr>
                <w:rFonts w:ascii="Time New Roma" w:hAnsi="Time New Roma"/>
                <w:sz w:val="24"/>
              </w:rPr>
            </w:pPr>
          </w:p>
        </w:tc>
        <w:tc>
          <w:tcPr>
            <w:tcW w:w="583" w:type="dxa"/>
            <w:tcBorders>
              <w:right w:val="single" w:color="auto" w:sz="6" w:space="0"/>
            </w:tcBorders>
          </w:tcPr>
          <w:p>
            <w:pPr>
              <w:spacing w:line="288" w:lineRule="auto"/>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spacing w:line="288" w:lineRule="auto"/>
              <w:rPr>
                <w:rFonts w:ascii="Time New Roma" w:hAnsi="Time New Roma"/>
                <w:sz w:val="24"/>
              </w:rPr>
            </w:pPr>
          </w:p>
        </w:tc>
        <w:tc>
          <w:tcPr>
            <w:tcW w:w="586" w:type="dxa"/>
          </w:tcPr>
          <w:p>
            <w:pPr>
              <w:spacing w:line="288" w:lineRule="auto"/>
              <w:rPr>
                <w:rFonts w:ascii="Time New Roma" w:hAnsi="Time New Roma"/>
                <w:sz w:val="24"/>
              </w:rPr>
            </w:pPr>
          </w:p>
        </w:tc>
        <w:tc>
          <w:tcPr>
            <w:tcW w:w="123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652"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2018" w:type="dxa"/>
          </w:tcPr>
          <w:p>
            <w:pPr>
              <w:spacing w:line="288" w:lineRule="auto"/>
              <w:rPr>
                <w:rFonts w:ascii="Time New Roma" w:hAnsi="Time New Roma"/>
                <w:sz w:val="24"/>
              </w:rPr>
            </w:pPr>
          </w:p>
        </w:tc>
        <w:tc>
          <w:tcPr>
            <w:tcW w:w="583" w:type="dxa"/>
            <w:tcBorders>
              <w:right w:val="single" w:color="auto" w:sz="6" w:space="0"/>
            </w:tcBorders>
          </w:tcPr>
          <w:p>
            <w:pPr>
              <w:spacing w:line="288" w:lineRule="auto"/>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spacing w:line="288" w:lineRule="auto"/>
              <w:rPr>
                <w:rFonts w:ascii="Time New Roma" w:hAnsi="Time New Roma"/>
                <w:sz w:val="24"/>
              </w:rPr>
            </w:pPr>
          </w:p>
        </w:tc>
        <w:tc>
          <w:tcPr>
            <w:tcW w:w="586" w:type="dxa"/>
          </w:tcPr>
          <w:p>
            <w:pPr>
              <w:spacing w:line="288" w:lineRule="auto"/>
              <w:rPr>
                <w:rFonts w:ascii="Time New Roma" w:hAnsi="Time New Roma"/>
                <w:sz w:val="24"/>
              </w:rPr>
            </w:pPr>
          </w:p>
        </w:tc>
        <w:tc>
          <w:tcPr>
            <w:tcW w:w="123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652"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2018" w:type="dxa"/>
          </w:tcPr>
          <w:p>
            <w:pPr>
              <w:spacing w:line="288" w:lineRule="auto"/>
              <w:rPr>
                <w:rFonts w:ascii="Time New Roma" w:hAnsi="Time New Roma"/>
                <w:sz w:val="24"/>
              </w:rPr>
            </w:pPr>
          </w:p>
        </w:tc>
        <w:tc>
          <w:tcPr>
            <w:tcW w:w="583" w:type="dxa"/>
            <w:tcBorders>
              <w:right w:val="single" w:color="auto" w:sz="6" w:space="0"/>
            </w:tcBorders>
          </w:tcPr>
          <w:p>
            <w:pPr>
              <w:spacing w:line="288" w:lineRule="auto"/>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spacing w:line="288" w:lineRule="auto"/>
              <w:rPr>
                <w:rFonts w:ascii="Time New Roma" w:hAnsi="Time New Roma"/>
                <w:sz w:val="24"/>
              </w:rPr>
            </w:pPr>
          </w:p>
        </w:tc>
        <w:tc>
          <w:tcPr>
            <w:tcW w:w="586" w:type="dxa"/>
          </w:tcPr>
          <w:p>
            <w:pPr>
              <w:spacing w:line="288" w:lineRule="auto"/>
              <w:rPr>
                <w:rFonts w:ascii="Time New Roma" w:hAnsi="Time New Roma"/>
                <w:sz w:val="24"/>
              </w:rPr>
            </w:pPr>
          </w:p>
        </w:tc>
        <w:tc>
          <w:tcPr>
            <w:tcW w:w="123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652"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2018" w:type="dxa"/>
          </w:tcPr>
          <w:p>
            <w:pPr>
              <w:spacing w:line="288" w:lineRule="auto"/>
              <w:rPr>
                <w:rFonts w:ascii="Time New Roma" w:hAnsi="Time New Roma"/>
                <w:sz w:val="24"/>
              </w:rPr>
            </w:pPr>
          </w:p>
        </w:tc>
        <w:tc>
          <w:tcPr>
            <w:tcW w:w="583" w:type="dxa"/>
            <w:tcBorders>
              <w:right w:val="single" w:color="auto" w:sz="6" w:space="0"/>
            </w:tcBorders>
          </w:tcPr>
          <w:p>
            <w:pPr>
              <w:spacing w:line="288" w:lineRule="auto"/>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spacing w:line="288" w:lineRule="auto"/>
              <w:rPr>
                <w:rFonts w:ascii="Time New Roma" w:hAnsi="Time New Roma"/>
                <w:sz w:val="24"/>
              </w:rPr>
            </w:pPr>
          </w:p>
        </w:tc>
        <w:tc>
          <w:tcPr>
            <w:tcW w:w="586" w:type="dxa"/>
          </w:tcPr>
          <w:p>
            <w:pPr>
              <w:spacing w:line="288" w:lineRule="auto"/>
              <w:rPr>
                <w:rFonts w:ascii="Time New Roma" w:hAnsi="Time New Roma"/>
                <w:sz w:val="24"/>
              </w:rPr>
            </w:pPr>
          </w:p>
        </w:tc>
        <w:tc>
          <w:tcPr>
            <w:tcW w:w="123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652"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2018" w:type="dxa"/>
          </w:tcPr>
          <w:p>
            <w:pPr>
              <w:spacing w:line="288" w:lineRule="auto"/>
              <w:rPr>
                <w:rFonts w:ascii="Time New Roma" w:hAnsi="Time New Roma"/>
                <w:sz w:val="24"/>
              </w:rPr>
            </w:pPr>
          </w:p>
        </w:tc>
        <w:tc>
          <w:tcPr>
            <w:tcW w:w="583" w:type="dxa"/>
            <w:tcBorders>
              <w:right w:val="single" w:color="auto" w:sz="6" w:space="0"/>
            </w:tcBorders>
          </w:tcPr>
          <w:p>
            <w:pPr>
              <w:spacing w:line="288" w:lineRule="auto"/>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spacing w:line="288" w:lineRule="auto"/>
              <w:rPr>
                <w:rFonts w:ascii="Time New Roma" w:hAnsi="Time New Roma"/>
                <w:sz w:val="24"/>
              </w:rPr>
            </w:pPr>
          </w:p>
        </w:tc>
        <w:tc>
          <w:tcPr>
            <w:tcW w:w="586" w:type="dxa"/>
          </w:tcPr>
          <w:p>
            <w:pPr>
              <w:spacing w:line="288" w:lineRule="auto"/>
              <w:rPr>
                <w:rFonts w:ascii="Time New Roma" w:hAnsi="Time New Roma"/>
                <w:sz w:val="24"/>
              </w:rPr>
            </w:pPr>
          </w:p>
        </w:tc>
        <w:tc>
          <w:tcPr>
            <w:tcW w:w="123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652"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2018" w:type="dxa"/>
          </w:tcPr>
          <w:p>
            <w:pPr>
              <w:spacing w:line="288" w:lineRule="auto"/>
              <w:rPr>
                <w:rFonts w:ascii="Time New Roma" w:hAnsi="Time New Roma"/>
                <w:sz w:val="24"/>
              </w:rPr>
            </w:pPr>
          </w:p>
        </w:tc>
        <w:tc>
          <w:tcPr>
            <w:tcW w:w="583" w:type="dxa"/>
            <w:tcBorders>
              <w:right w:val="single" w:color="auto" w:sz="6" w:space="0"/>
            </w:tcBorders>
          </w:tcPr>
          <w:p>
            <w:pPr>
              <w:spacing w:line="288" w:lineRule="auto"/>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spacing w:line="288" w:lineRule="auto"/>
              <w:rPr>
                <w:rFonts w:ascii="Time New Roma" w:hAnsi="Time New Roma"/>
                <w:sz w:val="24"/>
              </w:rPr>
            </w:pPr>
          </w:p>
        </w:tc>
        <w:tc>
          <w:tcPr>
            <w:tcW w:w="586" w:type="dxa"/>
          </w:tcPr>
          <w:p>
            <w:pPr>
              <w:spacing w:line="288" w:lineRule="auto"/>
              <w:rPr>
                <w:rFonts w:ascii="Time New Roma" w:hAnsi="Time New Roma"/>
                <w:sz w:val="24"/>
              </w:rPr>
            </w:pPr>
          </w:p>
        </w:tc>
        <w:tc>
          <w:tcPr>
            <w:tcW w:w="123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652"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2018" w:type="dxa"/>
          </w:tcPr>
          <w:p>
            <w:pPr>
              <w:spacing w:line="288" w:lineRule="auto"/>
              <w:rPr>
                <w:rFonts w:ascii="Time New Roma" w:hAnsi="Time New Roma"/>
                <w:sz w:val="24"/>
              </w:rPr>
            </w:pPr>
          </w:p>
        </w:tc>
        <w:tc>
          <w:tcPr>
            <w:tcW w:w="583" w:type="dxa"/>
            <w:tcBorders>
              <w:right w:val="single" w:color="auto" w:sz="6" w:space="0"/>
            </w:tcBorders>
          </w:tcPr>
          <w:p>
            <w:pPr>
              <w:spacing w:line="288" w:lineRule="auto"/>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spacing w:line="288" w:lineRule="auto"/>
              <w:rPr>
                <w:rFonts w:ascii="Time New Roma" w:hAnsi="Time New Roma"/>
                <w:sz w:val="24"/>
              </w:rPr>
            </w:pPr>
          </w:p>
        </w:tc>
        <w:tc>
          <w:tcPr>
            <w:tcW w:w="586" w:type="dxa"/>
          </w:tcPr>
          <w:p>
            <w:pPr>
              <w:spacing w:line="288" w:lineRule="auto"/>
              <w:rPr>
                <w:rFonts w:ascii="Time New Roma" w:hAnsi="Time New Roma"/>
                <w:sz w:val="24"/>
              </w:rPr>
            </w:pPr>
          </w:p>
        </w:tc>
        <w:tc>
          <w:tcPr>
            <w:tcW w:w="123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652"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2018" w:type="dxa"/>
          </w:tcPr>
          <w:p>
            <w:pPr>
              <w:spacing w:line="288" w:lineRule="auto"/>
              <w:rPr>
                <w:rFonts w:ascii="Time New Roma" w:hAnsi="Time New Roma"/>
                <w:sz w:val="24"/>
              </w:rPr>
            </w:pPr>
          </w:p>
        </w:tc>
        <w:tc>
          <w:tcPr>
            <w:tcW w:w="583" w:type="dxa"/>
            <w:tcBorders>
              <w:right w:val="single" w:color="auto" w:sz="6" w:space="0"/>
            </w:tcBorders>
          </w:tcPr>
          <w:p>
            <w:pPr>
              <w:spacing w:line="288" w:lineRule="auto"/>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spacing w:line="288" w:lineRule="auto"/>
              <w:rPr>
                <w:rFonts w:ascii="Time New Roma" w:hAnsi="Time New Roma"/>
                <w:sz w:val="24"/>
              </w:rPr>
            </w:pPr>
          </w:p>
        </w:tc>
        <w:tc>
          <w:tcPr>
            <w:tcW w:w="586" w:type="dxa"/>
          </w:tcPr>
          <w:p>
            <w:pPr>
              <w:spacing w:line="288" w:lineRule="auto"/>
              <w:rPr>
                <w:rFonts w:ascii="Time New Roma" w:hAnsi="Time New Roma"/>
                <w:sz w:val="24"/>
              </w:rPr>
            </w:pPr>
          </w:p>
        </w:tc>
        <w:tc>
          <w:tcPr>
            <w:tcW w:w="123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652"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2018" w:type="dxa"/>
          </w:tcPr>
          <w:p>
            <w:pPr>
              <w:spacing w:line="288" w:lineRule="auto"/>
              <w:rPr>
                <w:rFonts w:ascii="Time New Roma" w:hAnsi="Time New Roma"/>
                <w:sz w:val="24"/>
              </w:rPr>
            </w:pPr>
          </w:p>
        </w:tc>
        <w:tc>
          <w:tcPr>
            <w:tcW w:w="583" w:type="dxa"/>
            <w:tcBorders>
              <w:right w:val="single" w:color="auto" w:sz="6" w:space="0"/>
            </w:tcBorders>
          </w:tcPr>
          <w:p>
            <w:pPr>
              <w:spacing w:line="288" w:lineRule="auto"/>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spacing w:line="288" w:lineRule="auto"/>
              <w:rPr>
                <w:rFonts w:ascii="Time New Roma" w:hAnsi="Time New Roma"/>
                <w:sz w:val="24"/>
              </w:rPr>
            </w:pPr>
          </w:p>
        </w:tc>
        <w:tc>
          <w:tcPr>
            <w:tcW w:w="586" w:type="dxa"/>
          </w:tcPr>
          <w:p>
            <w:pPr>
              <w:spacing w:line="288" w:lineRule="auto"/>
              <w:rPr>
                <w:rFonts w:ascii="Time New Roma" w:hAnsi="Time New Roma"/>
                <w:sz w:val="24"/>
              </w:rPr>
            </w:pPr>
          </w:p>
        </w:tc>
        <w:tc>
          <w:tcPr>
            <w:tcW w:w="123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587"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652" w:type="dxa"/>
          </w:tcPr>
          <w:p>
            <w:pPr>
              <w:spacing w:line="288" w:lineRule="auto"/>
              <w:rPr>
                <w:rFonts w:ascii="Time New Roma" w:hAnsi="Time New Roma"/>
                <w:sz w:val="24"/>
              </w:rPr>
            </w:pPr>
          </w:p>
        </w:tc>
        <w:tc>
          <w:tcPr>
            <w:tcW w:w="846" w:type="dxa"/>
          </w:tcPr>
          <w:p>
            <w:pPr>
              <w:spacing w:line="288" w:lineRule="auto"/>
              <w:rPr>
                <w:rFonts w:ascii="Time New Roma" w:hAnsi="Time New Roma"/>
                <w:sz w:val="24"/>
              </w:rPr>
            </w:pPr>
          </w:p>
        </w:tc>
        <w:tc>
          <w:tcPr>
            <w:tcW w:w="2018" w:type="dxa"/>
          </w:tcPr>
          <w:p>
            <w:pPr>
              <w:spacing w:line="288" w:lineRule="auto"/>
              <w:rPr>
                <w:rFonts w:ascii="Time New Roma" w:hAnsi="Time New Roma"/>
                <w:sz w:val="24"/>
              </w:rPr>
            </w:pPr>
          </w:p>
        </w:tc>
        <w:tc>
          <w:tcPr>
            <w:tcW w:w="583" w:type="dxa"/>
            <w:tcBorders>
              <w:right w:val="single" w:color="auto" w:sz="6" w:space="0"/>
            </w:tcBorders>
          </w:tcPr>
          <w:p>
            <w:pPr>
              <w:spacing w:line="288" w:lineRule="auto"/>
              <w:rPr>
                <w:rFonts w:ascii="Time New Roma" w:hAnsi="Time New Roma"/>
                <w:sz w:val="24"/>
              </w:rPr>
            </w:pPr>
          </w:p>
        </w:tc>
      </w:tr>
    </w:tbl>
    <w:p>
      <w:pPr>
        <w:ind w:left="900" w:leftChars="257" w:hanging="360" w:hangingChars="150"/>
        <w:jc w:val="left"/>
        <w:rPr>
          <w:rFonts w:ascii="Time New Roma" w:hAnsi="Time New Roma"/>
          <w:sz w:val="24"/>
        </w:rPr>
      </w:pPr>
    </w:p>
    <w:p>
      <w:pPr>
        <w:spacing w:line="440" w:lineRule="exact"/>
        <w:ind w:left="900" w:leftChars="257" w:hanging="360" w:hangingChars="150"/>
        <w:jc w:val="left"/>
        <w:rPr>
          <w:rFonts w:ascii="Time New Roma" w:hAnsi="Time New Roma"/>
          <w:sz w:val="24"/>
        </w:rPr>
      </w:pPr>
      <w:r>
        <w:rPr>
          <w:rFonts w:hint="eastAsia" w:ascii="Time New Roma" w:hAnsi="Time New Roma"/>
          <w:sz w:val="24"/>
        </w:rPr>
        <w:t>注：按照招标文件要求提供证明文件。</w:t>
      </w:r>
    </w:p>
    <w:p>
      <w:pPr>
        <w:spacing w:line="440" w:lineRule="exact"/>
        <w:ind w:firstLine="480" w:firstLineChars="200"/>
        <w:jc w:val="left"/>
        <w:rPr>
          <w:rFonts w:ascii="Time New Roma" w:hAnsi="Time New Roma"/>
          <w:sz w:val="24"/>
        </w:rPr>
      </w:pPr>
    </w:p>
    <w:p>
      <w:pPr>
        <w:spacing w:line="440" w:lineRule="exact"/>
        <w:ind w:firstLine="480" w:firstLineChars="200"/>
        <w:jc w:val="left"/>
        <w:rPr>
          <w:rFonts w:ascii="Time New Roma" w:hAnsi="Time New Roma"/>
          <w:sz w:val="24"/>
        </w:rPr>
      </w:pPr>
    </w:p>
    <w:p>
      <w:pPr>
        <w:spacing w:line="440" w:lineRule="exact"/>
        <w:ind w:firstLine="480" w:firstLineChars="200"/>
        <w:jc w:val="left"/>
        <w:rPr>
          <w:rFonts w:ascii="Time New Roma" w:hAnsi="Time New Roma"/>
          <w:sz w:val="24"/>
        </w:rPr>
      </w:pPr>
    </w:p>
    <w:p>
      <w:pPr>
        <w:pStyle w:val="21"/>
        <w:spacing w:after="0" w:line="440" w:lineRule="exact"/>
        <w:ind w:firstLine="480" w:firstLineChars="200"/>
        <w:jc w:val="left"/>
        <w:rPr>
          <w:rFonts w:ascii="Time New Roma" w:hAnsi="Time New Roma"/>
          <w:sz w:val="24"/>
        </w:rPr>
      </w:pPr>
      <w:r>
        <w:rPr>
          <w:rFonts w:hint="eastAsia" w:ascii="Time New Roma" w:hAnsi="Time New Roma"/>
          <w:sz w:val="24"/>
        </w:rPr>
        <w:t>投标人名称（加盖公章）：</w:t>
      </w:r>
    </w:p>
    <w:p>
      <w:pPr>
        <w:pStyle w:val="21"/>
        <w:spacing w:after="0" w:line="440" w:lineRule="exact"/>
        <w:ind w:firstLine="480" w:firstLineChars="200"/>
        <w:jc w:val="left"/>
        <w:rPr>
          <w:rFonts w:ascii="Time New Roma" w:hAnsi="Time New Roma"/>
          <w:sz w:val="24"/>
        </w:rPr>
      </w:pPr>
      <w:r>
        <w:rPr>
          <w:rFonts w:hint="eastAsia" w:ascii="Time New Roma" w:hAnsi="Time New Roma"/>
          <w:sz w:val="24"/>
        </w:rPr>
        <w:t>投标人法定代表人或受委托人（签名或盖私章）：</w:t>
      </w:r>
    </w:p>
    <w:p>
      <w:pPr>
        <w:pStyle w:val="21"/>
        <w:spacing w:after="0" w:line="440" w:lineRule="exact"/>
        <w:ind w:firstLine="480" w:firstLineChars="200"/>
        <w:jc w:val="left"/>
        <w:rPr>
          <w:rFonts w:ascii="Time New Roma" w:hAnsi="Time New Roma"/>
          <w:sz w:val="24"/>
        </w:rPr>
      </w:pPr>
      <w:r>
        <w:rPr>
          <w:rFonts w:hint="eastAsia" w:ascii="Time New Roma" w:hAnsi="Time New Roma"/>
          <w:sz w:val="24"/>
        </w:rPr>
        <w:t>日      期：</w:t>
      </w:r>
    </w:p>
    <w:p>
      <w:pPr>
        <w:spacing w:before="240" w:beforeLines="100" w:after="240" w:afterLines="100"/>
        <w:jc w:val="center"/>
        <w:outlineLvl w:val="1"/>
        <w:rPr>
          <w:rFonts w:ascii="Time New Roma" w:hAnsi="Time New Roma" w:eastAsia="黑体"/>
          <w:sz w:val="32"/>
          <w:szCs w:val="32"/>
        </w:rPr>
      </w:pPr>
      <w:r>
        <w:rPr>
          <w:rFonts w:ascii="Time New Roma" w:hAnsi="Time New Roma"/>
          <w:sz w:val="24"/>
        </w:rPr>
        <w:br w:type="page"/>
      </w:r>
      <w:bookmarkStart w:id="234" w:name="_Toc92706602"/>
      <w:bookmarkStart w:id="235" w:name="_Toc170229677"/>
      <w:bookmarkStart w:id="236" w:name="_Toc22802591"/>
      <w:bookmarkStart w:id="237" w:name="_Toc525803854"/>
      <w:r>
        <w:rPr>
          <w:rFonts w:hint="eastAsia" w:ascii="Time New Roma" w:hAnsi="Time New Roma"/>
          <w:b/>
          <w:bCs/>
          <w:sz w:val="44"/>
          <w:szCs w:val="44"/>
        </w:rPr>
        <w:t>八、技术规格偏离表</w:t>
      </w:r>
      <w:bookmarkEnd w:id="234"/>
      <w:bookmarkEnd w:id="235"/>
      <w:bookmarkEnd w:id="236"/>
      <w:bookmarkEnd w:id="237"/>
    </w:p>
    <w:p>
      <w:pPr>
        <w:spacing w:line="360" w:lineRule="auto"/>
        <w:rPr>
          <w:rFonts w:ascii="Time New Roma" w:hAnsi="Time New Roma"/>
          <w:sz w:val="24"/>
        </w:rPr>
      </w:pPr>
      <w:r>
        <w:rPr>
          <w:rFonts w:hint="eastAsia" w:ascii="Time New Roma" w:hAnsi="Time New Roma"/>
          <w:sz w:val="24"/>
        </w:rPr>
        <w:t>项目名称：</w:t>
      </w:r>
      <w:r>
        <w:rPr>
          <w:rFonts w:hint="eastAsia" w:ascii="Time New Roma" w:hAnsi="Time New Roma"/>
          <w:sz w:val="24"/>
          <w:u w:val="single"/>
        </w:rPr>
        <w:t xml:space="preserve">                          </w:t>
      </w:r>
      <w:r>
        <w:rPr>
          <w:rFonts w:hint="eastAsia" w:ascii="Time New Roma" w:hAnsi="Time New Roma"/>
          <w:sz w:val="24"/>
        </w:rPr>
        <w:t xml:space="preserve"> 采购编号：</w:t>
      </w:r>
      <w:r>
        <w:rPr>
          <w:rFonts w:hint="eastAsia" w:ascii="Time New Roma" w:hAnsi="Time New Roma"/>
          <w:sz w:val="24"/>
          <w:u w:val="single"/>
        </w:rPr>
        <w:t xml:space="preserve">                   </w:t>
      </w:r>
      <w:r>
        <w:rPr>
          <w:rFonts w:hint="eastAsia" w:ascii="Time New Roma" w:hAnsi="Time New Roma"/>
          <w:sz w:val="24"/>
        </w:rPr>
        <w:t xml:space="preserve"> </w:t>
      </w:r>
    </w:p>
    <w:tbl>
      <w:tblPr>
        <w:tblStyle w:val="4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764"/>
        <w:gridCol w:w="1764"/>
        <w:gridCol w:w="1931"/>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79" w:type="dxa"/>
            <w:vAlign w:val="center"/>
          </w:tcPr>
          <w:p>
            <w:pPr>
              <w:jc w:val="center"/>
              <w:rPr>
                <w:rFonts w:ascii="Time New Roma" w:hAnsi="Time New Roma"/>
                <w:b/>
                <w:sz w:val="24"/>
              </w:rPr>
            </w:pPr>
            <w:r>
              <w:rPr>
                <w:rFonts w:hint="eastAsia" w:ascii="Time New Roma" w:hAnsi="Time New Roma"/>
                <w:b/>
                <w:sz w:val="24"/>
              </w:rPr>
              <w:t>序号</w:t>
            </w:r>
          </w:p>
        </w:tc>
        <w:tc>
          <w:tcPr>
            <w:tcW w:w="1764" w:type="dxa"/>
            <w:vAlign w:val="center"/>
          </w:tcPr>
          <w:p>
            <w:pPr>
              <w:jc w:val="center"/>
              <w:rPr>
                <w:rFonts w:ascii="Time New Roma" w:hAnsi="Time New Roma"/>
                <w:b/>
                <w:sz w:val="24"/>
              </w:rPr>
            </w:pPr>
            <w:r>
              <w:rPr>
                <w:rFonts w:hint="eastAsia" w:ascii="Time New Roma" w:hAnsi="Time New Roma"/>
                <w:b/>
                <w:sz w:val="24"/>
              </w:rPr>
              <w:t>招标要求</w:t>
            </w:r>
          </w:p>
        </w:tc>
        <w:tc>
          <w:tcPr>
            <w:tcW w:w="1764" w:type="dxa"/>
            <w:vAlign w:val="center"/>
          </w:tcPr>
          <w:p>
            <w:pPr>
              <w:jc w:val="center"/>
              <w:rPr>
                <w:rFonts w:ascii="Time New Roma" w:hAnsi="Time New Roma"/>
                <w:b/>
                <w:sz w:val="24"/>
              </w:rPr>
            </w:pPr>
            <w:r>
              <w:rPr>
                <w:rFonts w:hint="eastAsia" w:ascii="Time New Roma" w:hAnsi="Time New Roma"/>
                <w:b/>
                <w:sz w:val="24"/>
              </w:rPr>
              <w:t>投标实际响应</w:t>
            </w:r>
          </w:p>
        </w:tc>
        <w:tc>
          <w:tcPr>
            <w:tcW w:w="1931" w:type="dxa"/>
            <w:vAlign w:val="center"/>
          </w:tcPr>
          <w:p>
            <w:pPr>
              <w:jc w:val="center"/>
              <w:rPr>
                <w:rFonts w:ascii="Time New Roma" w:hAnsi="Time New Roma"/>
                <w:b/>
                <w:sz w:val="24"/>
              </w:rPr>
            </w:pPr>
            <w:r>
              <w:rPr>
                <w:rFonts w:hint="eastAsia" w:ascii="Time New Roma" w:hAnsi="Time New Roma"/>
                <w:b/>
                <w:sz w:val="24"/>
              </w:rPr>
              <w:t>是否偏离</w:t>
            </w:r>
          </w:p>
        </w:tc>
        <w:tc>
          <w:tcPr>
            <w:tcW w:w="1990" w:type="dxa"/>
            <w:vAlign w:val="center"/>
          </w:tcPr>
          <w:p>
            <w:pPr>
              <w:jc w:val="center"/>
              <w:rPr>
                <w:rFonts w:ascii="Time New Roma" w:hAnsi="Time New Roma"/>
                <w:b/>
                <w:sz w:val="24"/>
              </w:rPr>
            </w:pPr>
            <w:r>
              <w:rPr>
                <w:rFonts w:hint="eastAsia" w:ascii="Time New Roma" w:hAnsi="Time New Roma"/>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931" w:type="dxa"/>
            <w:vAlign w:val="center"/>
          </w:tcPr>
          <w:p>
            <w:pPr>
              <w:jc w:val="center"/>
              <w:rPr>
                <w:rFonts w:ascii="Time New Roma" w:hAnsi="Time New Roma"/>
                <w:sz w:val="24"/>
              </w:rPr>
            </w:pPr>
          </w:p>
        </w:tc>
        <w:tc>
          <w:tcPr>
            <w:tcW w:w="1990"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931" w:type="dxa"/>
            <w:vAlign w:val="center"/>
          </w:tcPr>
          <w:p>
            <w:pPr>
              <w:jc w:val="center"/>
              <w:rPr>
                <w:rFonts w:ascii="Time New Roma" w:hAnsi="Time New Roma"/>
                <w:sz w:val="24"/>
              </w:rPr>
            </w:pPr>
          </w:p>
        </w:tc>
        <w:tc>
          <w:tcPr>
            <w:tcW w:w="1990"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931" w:type="dxa"/>
            <w:vAlign w:val="center"/>
          </w:tcPr>
          <w:p>
            <w:pPr>
              <w:jc w:val="center"/>
              <w:rPr>
                <w:rFonts w:ascii="Time New Roma" w:hAnsi="Time New Roma"/>
                <w:sz w:val="24"/>
              </w:rPr>
            </w:pPr>
          </w:p>
        </w:tc>
        <w:tc>
          <w:tcPr>
            <w:tcW w:w="1990"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931" w:type="dxa"/>
            <w:vAlign w:val="center"/>
          </w:tcPr>
          <w:p>
            <w:pPr>
              <w:jc w:val="center"/>
              <w:rPr>
                <w:rFonts w:ascii="Time New Roma" w:hAnsi="Time New Roma"/>
                <w:sz w:val="24"/>
              </w:rPr>
            </w:pPr>
          </w:p>
        </w:tc>
        <w:tc>
          <w:tcPr>
            <w:tcW w:w="1990"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931" w:type="dxa"/>
            <w:vAlign w:val="center"/>
          </w:tcPr>
          <w:p>
            <w:pPr>
              <w:jc w:val="center"/>
              <w:rPr>
                <w:rFonts w:ascii="Time New Roma" w:hAnsi="Time New Roma"/>
                <w:sz w:val="24"/>
              </w:rPr>
            </w:pPr>
          </w:p>
        </w:tc>
        <w:tc>
          <w:tcPr>
            <w:tcW w:w="1990"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931" w:type="dxa"/>
            <w:vAlign w:val="center"/>
          </w:tcPr>
          <w:p>
            <w:pPr>
              <w:jc w:val="center"/>
              <w:rPr>
                <w:rFonts w:ascii="Time New Roma" w:hAnsi="Time New Roma"/>
                <w:sz w:val="24"/>
              </w:rPr>
            </w:pPr>
          </w:p>
        </w:tc>
        <w:tc>
          <w:tcPr>
            <w:tcW w:w="1990"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931" w:type="dxa"/>
            <w:vAlign w:val="center"/>
          </w:tcPr>
          <w:p>
            <w:pPr>
              <w:jc w:val="center"/>
              <w:rPr>
                <w:rFonts w:ascii="Time New Roma" w:hAnsi="Time New Roma"/>
                <w:sz w:val="24"/>
              </w:rPr>
            </w:pPr>
          </w:p>
        </w:tc>
        <w:tc>
          <w:tcPr>
            <w:tcW w:w="1990"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931" w:type="dxa"/>
            <w:vAlign w:val="center"/>
          </w:tcPr>
          <w:p>
            <w:pPr>
              <w:jc w:val="center"/>
              <w:rPr>
                <w:rFonts w:ascii="Time New Roma" w:hAnsi="Time New Roma"/>
                <w:sz w:val="24"/>
              </w:rPr>
            </w:pPr>
          </w:p>
        </w:tc>
        <w:tc>
          <w:tcPr>
            <w:tcW w:w="1990"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931" w:type="dxa"/>
            <w:vAlign w:val="center"/>
          </w:tcPr>
          <w:p>
            <w:pPr>
              <w:jc w:val="center"/>
              <w:rPr>
                <w:rFonts w:ascii="Time New Roma" w:hAnsi="Time New Roma"/>
                <w:sz w:val="24"/>
              </w:rPr>
            </w:pPr>
          </w:p>
        </w:tc>
        <w:tc>
          <w:tcPr>
            <w:tcW w:w="1990" w:type="dxa"/>
            <w:vAlign w:val="center"/>
          </w:tcPr>
          <w:p>
            <w:pPr>
              <w:jc w:val="center"/>
              <w:rPr>
                <w:rFonts w:ascii="Time New Roma" w:hAnsi="Time New Rom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764" w:type="dxa"/>
            <w:vAlign w:val="center"/>
          </w:tcPr>
          <w:p>
            <w:pPr>
              <w:jc w:val="center"/>
              <w:rPr>
                <w:rFonts w:ascii="Time New Roma" w:hAnsi="Time New Roma"/>
                <w:sz w:val="24"/>
              </w:rPr>
            </w:pPr>
          </w:p>
        </w:tc>
        <w:tc>
          <w:tcPr>
            <w:tcW w:w="1931" w:type="dxa"/>
            <w:vAlign w:val="center"/>
          </w:tcPr>
          <w:p>
            <w:pPr>
              <w:jc w:val="center"/>
              <w:rPr>
                <w:rFonts w:ascii="Time New Roma" w:hAnsi="Time New Roma"/>
                <w:sz w:val="24"/>
              </w:rPr>
            </w:pPr>
          </w:p>
        </w:tc>
        <w:tc>
          <w:tcPr>
            <w:tcW w:w="1990" w:type="dxa"/>
            <w:vAlign w:val="center"/>
          </w:tcPr>
          <w:p>
            <w:pPr>
              <w:jc w:val="center"/>
              <w:rPr>
                <w:rFonts w:ascii="Time New Roma" w:hAnsi="Time New Roma"/>
                <w:sz w:val="24"/>
              </w:rPr>
            </w:pPr>
          </w:p>
        </w:tc>
      </w:tr>
    </w:tbl>
    <w:p>
      <w:pPr>
        <w:rPr>
          <w:rFonts w:ascii="Time New Roma" w:hAnsi="Time New Roma"/>
          <w:sz w:val="24"/>
        </w:rPr>
      </w:pPr>
    </w:p>
    <w:p>
      <w:pPr>
        <w:rPr>
          <w:rFonts w:ascii="Time New Roma" w:hAnsi="Time New Roma"/>
          <w:sz w:val="24"/>
        </w:rPr>
      </w:pPr>
      <w:r>
        <w:rPr>
          <w:rFonts w:hint="eastAsia" w:ascii="Time New Roma" w:hAnsi="Time New Roma"/>
          <w:sz w:val="24"/>
        </w:rPr>
        <w:t>注：</w:t>
      </w:r>
    </w:p>
    <w:p>
      <w:pPr>
        <w:spacing w:line="360" w:lineRule="exact"/>
        <w:ind w:firstLine="480" w:firstLineChars="200"/>
        <w:rPr>
          <w:rFonts w:ascii="Time New Roma" w:hAnsi="Time New Roma"/>
          <w:sz w:val="24"/>
        </w:rPr>
      </w:pPr>
      <w:r>
        <w:rPr>
          <w:rFonts w:hint="eastAsia" w:ascii="Time New Roma" w:hAnsi="Time New Roma"/>
          <w:sz w:val="24"/>
        </w:rPr>
        <w:t>1、在“是否偏离”项中填写“正”、“负”或“无”，说明项中填写原因。</w:t>
      </w:r>
    </w:p>
    <w:p>
      <w:pPr>
        <w:pStyle w:val="21"/>
        <w:spacing w:after="0" w:line="360" w:lineRule="exact"/>
        <w:ind w:firstLine="480" w:firstLineChars="200"/>
        <w:jc w:val="left"/>
        <w:rPr>
          <w:rFonts w:ascii="Time New Roma" w:hAnsi="Time New Roma"/>
          <w:sz w:val="24"/>
          <w:szCs w:val="24"/>
        </w:rPr>
      </w:pPr>
      <w:r>
        <w:rPr>
          <w:rFonts w:hint="eastAsia" w:ascii="Time New Roma" w:hAnsi="Time New Roma"/>
          <w:sz w:val="24"/>
          <w:szCs w:val="24"/>
        </w:rPr>
        <w:t>2、投标人应对照招标文件技术规格、要求，逐条说明所提供服务已对招标文件的技术规格、要求做出了实质性的响应</w:t>
      </w:r>
      <w:r>
        <w:rPr>
          <w:rFonts w:hint="eastAsia" w:ascii="Time New Roma" w:hAnsi="Time New Roma"/>
          <w:b/>
          <w:sz w:val="24"/>
          <w:szCs w:val="24"/>
        </w:rPr>
        <w:t>（★号参数必须完全响应</w:t>
      </w:r>
      <w:r>
        <w:rPr>
          <w:rFonts w:hint="eastAsia" w:ascii="Time New Roma" w:hAnsi="Time New Roma"/>
          <w:b/>
          <w:sz w:val="24"/>
        </w:rPr>
        <w:t>，不响应或负偏离将导致投标无效</w:t>
      </w:r>
      <w:r>
        <w:rPr>
          <w:rFonts w:hint="eastAsia" w:ascii="Time New Roma" w:hAnsi="Time New Roma"/>
          <w:b/>
          <w:sz w:val="24"/>
          <w:szCs w:val="24"/>
        </w:rPr>
        <w:t>）</w:t>
      </w:r>
      <w:r>
        <w:rPr>
          <w:rFonts w:hint="eastAsia" w:ascii="Time New Roma" w:hAnsi="Time New Roma"/>
          <w:sz w:val="24"/>
          <w:szCs w:val="24"/>
        </w:rPr>
        <w:t>，并申明与技术规格、要求条文的偏差和例外。</w:t>
      </w:r>
    </w:p>
    <w:p>
      <w:pPr>
        <w:spacing w:line="360" w:lineRule="exact"/>
        <w:ind w:firstLine="480" w:firstLineChars="200"/>
        <w:jc w:val="left"/>
        <w:rPr>
          <w:rFonts w:ascii="Time New Roma" w:hAnsi="Time New Roma"/>
          <w:sz w:val="24"/>
        </w:rPr>
      </w:pPr>
    </w:p>
    <w:p>
      <w:pPr>
        <w:spacing w:line="360" w:lineRule="exact"/>
        <w:ind w:firstLine="480" w:firstLineChars="200"/>
        <w:jc w:val="left"/>
        <w:rPr>
          <w:rFonts w:ascii="Time New Roma" w:hAnsi="Time New Roma"/>
          <w:sz w:val="24"/>
        </w:rPr>
      </w:pPr>
    </w:p>
    <w:p>
      <w:pPr>
        <w:spacing w:line="360" w:lineRule="exact"/>
        <w:ind w:firstLine="480" w:firstLineChars="200"/>
        <w:jc w:val="left"/>
        <w:rPr>
          <w:rFonts w:ascii="Time New Roma" w:hAnsi="Time New Roma"/>
          <w:sz w:val="24"/>
        </w:rPr>
      </w:pPr>
    </w:p>
    <w:p>
      <w:pPr>
        <w:pStyle w:val="21"/>
        <w:spacing w:after="0" w:line="360" w:lineRule="exact"/>
        <w:ind w:firstLine="720" w:firstLineChars="300"/>
        <w:jc w:val="left"/>
        <w:rPr>
          <w:rFonts w:ascii="Time New Roma" w:hAnsi="Time New Roma"/>
          <w:sz w:val="24"/>
          <w:szCs w:val="24"/>
        </w:rPr>
      </w:pPr>
      <w:r>
        <w:rPr>
          <w:rFonts w:hint="eastAsia" w:ascii="Time New Roma" w:hAnsi="Time New Roma"/>
          <w:sz w:val="24"/>
          <w:szCs w:val="24"/>
        </w:rPr>
        <w:t>投标人名称（加盖公章）：</w:t>
      </w:r>
    </w:p>
    <w:p>
      <w:pPr>
        <w:pStyle w:val="21"/>
        <w:spacing w:after="0" w:line="360" w:lineRule="exact"/>
        <w:ind w:firstLine="720" w:firstLineChars="300"/>
        <w:jc w:val="left"/>
        <w:rPr>
          <w:rFonts w:ascii="Time New Roma" w:hAnsi="Time New Roma"/>
          <w:sz w:val="24"/>
          <w:szCs w:val="24"/>
        </w:rPr>
      </w:pPr>
      <w:r>
        <w:rPr>
          <w:rFonts w:hint="eastAsia" w:ascii="Time New Roma" w:hAnsi="Time New Roma"/>
          <w:sz w:val="24"/>
          <w:szCs w:val="24"/>
        </w:rPr>
        <w:t>投标人法定代表人或受委托人（签名或盖私章）：</w:t>
      </w:r>
    </w:p>
    <w:p>
      <w:pPr>
        <w:pStyle w:val="21"/>
        <w:spacing w:after="0" w:line="360" w:lineRule="exact"/>
        <w:ind w:firstLine="720" w:firstLineChars="300"/>
        <w:jc w:val="left"/>
        <w:rPr>
          <w:rFonts w:ascii="Time New Roma" w:hAnsi="Time New Roma"/>
          <w:sz w:val="24"/>
        </w:rPr>
      </w:pPr>
      <w:r>
        <w:rPr>
          <w:rFonts w:hint="eastAsia" w:ascii="Time New Roma" w:hAnsi="Time New Roma"/>
          <w:sz w:val="24"/>
          <w:szCs w:val="24"/>
        </w:rPr>
        <w:t>日    期：</w:t>
      </w:r>
    </w:p>
    <w:p>
      <w:pPr>
        <w:pStyle w:val="21"/>
        <w:spacing w:after="0" w:line="440" w:lineRule="exact"/>
        <w:jc w:val="left"/>
        <w:rPr>
          <w:rFonts w:ascii="Time New Roma" w:hAnsi="Time New Roma"/>
          <w:sz w:val="24"/>
        </w:rPr>
      </w:pPr>
    </w:p>
    <w:p>
      <w:pPr>
        <w:spacing w:before="240" w:beforeLines="100" w:after="240" w:afterLines="100"/>
        <w:jc w:val="center"/>
        <w:outlineLvl w:val="1"/>
        <w:rPr>
          <w:rFonts w:ascii="Time New Roma" w:hAnsi="Time New Roma"/>
          <w:b/>
          <w:bCs/>
          <w:sz w:val="44"/>
          <w:szCs w:val="44"/>
        </w:rPr>
      </w:pPr>
      <w:r>
        <w:rPr>
          <w:rFonts w:ascii="Time New Roma" w:hAnsi="Time New Roma"/>
          <w:sz w:val="24"/>
        </w:rPr>
        <w:br w:type="page"/>
      </w:r>
      <w:bookmarkEnd w:id="233"/>
      <w:bookmarkStart w:id="238" w:name="_Toc170229678"/>
      <w:bookmarkStart w:id="239" w:name="_Toc22802592"/>
      <w:bookmarkStart w:id="240" w:name="_Toc92706603"/>
      <w:bookmarkStart w:id="241" w:name="_Toc492591300"/>
      <w:r>
        <w:rPr>
          <w:rFonts w:hint="eastAsia" w:ascii="Time New Roma" w:hAnsi="Time New Roma"/>
          <w:b/>
          <w:bCs/>
          <w:sz w:val="44"/>
          <w:szCs w:val="44"/>
        </w:rPr>
        <w:t>九、中小企业声明函（可选）</w:t>
      </w:r>
      <w:bookmarkEnd w:id="238"/>
      <w:bookmarkEnd w:id="239"/>
      <w:bookmarkEnd w:id="240"/>
      <w:bookmarkEnd w:id="241"/>
    </w:p>
    <w:p>
      <w:pPr>
        <w:spacing w:line="360" w:lineRule="auto"/>
        <w:rPr>
          <w:rFonts w:ascii="Time New Roma" w:hAnsi="Time New Roma"/>
          <w:sz w:val="24"/>
          <w:u w:val="single"/>
        </w:rPr>
      </w:pPr>
      <w:r>
        <w:rPr>
          <w:rFonts w:hint="eastAsia" w:ascii="Time New Roma" w:hAnsi="Time New Roma"/>
          <w:sz w:val="24"/>
        </w:rPr>
        <w:t>项目名称：</w:t>
      </w:r>
      <w:r>
        <w:rPr>
          <w:rFonts w:hint="eastAsia" w:ascii="Time New Roma" w:hAnsi="Time New Roma"/>
          <w:sz w:val="24"/>
          <w:u w:val="single"/>
        </w:rPr>
        <w:t xml:space="preserve">                          </w:t>
      </w:r>
      <w:r>
        <w:rPr>
          <w:rFonts w:hint="eastAsia" w:ascii="Time New Roma" w:hAnsi="Time New Roma"/>
          <w:sz w:val="24"/>
        </w:rPr>
        <w:t xml:space="preserve"> 采购编号：</w:t>
      </w:r>
      <w:r>
        <w:rPr>
          <w:rFonts w:hint="eastAsia" w:ascii="Time New Roma" w:hAnsi="Time New Roma"/>
          <w:sz w:val="24"/>
          <w:u w:val="single"/>
        </w:rPr>
        <w:t xml:space="preserve">                   </w:t>
      </w:r>
    </w:p>
    <w:p>
      <w:pPr>
        <w:pStyle w:val="21"/>
        <w:spacing w:line="440" w:lineRule="exact"/>
        <w:ind w:firstLine="480" w:firstLineChars="200"/>
        <w:jc w:val="left"/>
        <w:rPr>
          <w:sz w:val="24"/>
          <w:szCs w:val="24"/>
          <w:lang w:val="zh-CN"/>
        </w:rPr>
      </w:pPr>
      <w:r>
        <w:rPr>
          <w:rFonts w:hint="eastAsia"/>
          <w:sz w:val="24"/>
          <w:szCs w:val="24"/>
          <w:lang w:val="zh-CN"/>
        </w:rPr>
        <w:t>本公司（联合体）郑重声明，根据《政府采购促进中小企业发展管理办法》（财库﹝2020﹞46号）的规定，本公司（联合体）参加</w:t>
      </w:r>
      <w:r>
        <w:rPr>
          <w:rFonts w:hint="eastAsia"/>
          <w:i/>
          <w:sz w:val="24"/>
          <w:szCs w:val="24"/>
          <w:u w:val="single"/>
          <w:lang w:val="zh-CN"/>
        </w:rPr>
        <w:t>（单位名称）</w:t>
      </w:r>
      <w:r>
        <w:rPr>
          <w:rFonts w:hint="eastAsia"/>
          <w:sz w:val="24"/>
          <w:szCs w:val="24"/>
          <w:lang w:val="zh-CN"/>
        </w:rPr>
        <w:t>的</w:t>
      </w:r>
      <w:r>
        <w:rPr>
          <w:rFonts w:hint="eastAsia"/>
          <w:i/>
          <w:sz w:val="24"/>
          <w:szCs w:val="24"/>
          <w:u w:val="single"/>
          <w:lang w:val="zh-CN"/>
        </w:rPr>
        <w:t>（项目名称）</w:t>
      </w:r>
      <w:r>
        <w:rPr>
          <w:rFonts w:hint="eastAsia"/>
          <w:sz w:val="24"/>
          <w:szCs w:val="24"/>
          <w:lang w:val="zh-CN"/>
        </w:rPr>
        <w:t>采购活动，工程的施工单位全部为符合政策要求的中小企业（或者：服务全部由符合政策要求的中小企业承接）。相关企业（含联合体中的中小企业、签订分包意向协议的中小企业）的具体情况如下：</w:t>
      </w:r>
    </w:p>
    <w:p>
      <w:pPr>
        <w:pStyle w:val="21"/>
        <w:wordWrap w:val="0"/>
        <w:spacing w:line="440" w:lineRule="exact"/>
        <w:ind w:firstLine="480" w:firstLineChars="200"/>
        <w:jc w:val="left"/>
        <w:rPr>
          <w:sz w:val="24"/>
          <w:szCs w:val="24"/>
          <w:lang w:val="zh-CN"/>
        </w:rPr>
      </w:pPr>
      <w:r>
        <w:rPr>
          <w:rFonts w:hint="eastAsia"/>
          <w:sz w:val="24"/>
          <w:szCs w:val="24"/>
          <w:lang w:val="zh-CN"/>
        </w:rPr>
        <w:t>1.</w:t>
      </w:r>
      <w:r>
        <w:rPr>
          <w:rFonts w:hint="eastAsia"/>
          <w:i/>
          <w:sz w:val="24"/>
          <w:szCs w:val="24"/>
          <w:u w:val="single"/>
          <w:lang w:val="zh-CN"/>
        </w:rPr>
        <w:t>（标的名称）</w:t>
      </w:r>
      <w:r>
        <w:rPr>
          <w:rFonts w:hint="eastAsia"/>
          <w:sz w:val="24"/>
          <w:szCs w:val="24"/>
          <w:lang w:val="zh-CN"/>
        </w:rPr>
        <w:t>，属于</w:t>
      </w:r>
      <w:r>
        <w:rPr>
          <w:rFonts w:hint="eastAsia"/>
          <w:i/>
          <w:sz w:val="24"/>
          <w:szCs w:val="24"/>
          <w:u w:val="single"/>
          <w:lang w:val="zh-CN"/>
        </w:rPr>
        <w:t>（采购文件中明确的所属行业）</w:t>
      </w:r>
      <w:r>
        <w:rPr>
          <w:rFonts w:hint="eastAsia"/>
          <w:sz w:val="24"/>
          <w:szCs w:val="24"/>
          <w:lang w:val="zh-CN"/>
        </w:rPr>
        <w:t>；承建（承接）企业为</w:t>
      </w:r>
      <w:r>
        <w:rPr>
          <w:rFonts w:hint="eastAsia"/>
          <w:i/>
          <w:sz w:val="24"/>
          <w:szCs w:val="24"/>
          <w:u w:val="single"/>
          <w:lang w:val="zh-CN"/>
        </w:rPr>
        <w:t>（企业名称）</w:t>
      </w:r>
      <w:r>
        <w:rPr>
          <w:rFonts w:hint="eastAsia"/>
          <w:sz w:val="24"/>
          <w:szCs w:val="24"/>
          <w:lang w:val="zh-CN"/>
        </w:rPr>
        <w:t>，从业人员</w:t>
      </w:r>
      <w:r>
        <w:rPr>
          <w:rFonts w:hint="eastAsia"/>
          <w:sz w:val="24"/>
          <w:szCs w:val="24"/>
          <w:u w:val="single"/>
          <w:lang w:val="zh-CN"/>
        </w:rPr>
        <w:t xml:space="preserve">        </w:t>
      </w:r>
      <w:r>
        <w:rPr>
          <w:rFonts w:hint="eastAsia"/>
          <w:sz w:val="24"/>
          <w:szCs w:val="24"/>
          <w:lang w:val="zh-CN"/>
        </w:rPr>
        <w:t>人，营业收入为</w:t>
      </w:r>
      <w:r>
        <w:rPr>
          <w:rFonts w:hint="eastAsia"/>
          <w:sz w:val="24"/>
          <w:szCs w:val="24"/>
          <w:u w:val="single"/>
          <w:lang w:val="zh-CN"/>
        </w:rPr>
        <w:t xml:space="preserve">        </w:t>
      </w:r>
      <w:r>
        <w:rPr>
          <w:rFonts w:hint="eastAsia"/>
          <w:sz w:val="24"/>
          <w:szCs w:val="24"/>
          <w:lang w:val="zh-CN"/>
        </w:rPr>
        <w:t>万元，资产总额为</w:t>
      </w:r>
      <w:r>
        <w:rPr>
          <w:rFonts w:hint="eastAsia"/>
          <w:sz w:val="24"/>
          <w:szCs w:val="24"/>
          <w:u w:val="single"/>
          <w:lang w:val="zh-CN"/>
        </w:rPr>
        <w:t xml:space="preserve">        </w:t>
      </w:r>
      <w:r>
        <w:rPr>
          <w:rFonts w:hint="eastAsia"/>
          <w:sz w:val="24"/>
          <w:szCs w:val="24"/>
          <w:lang w:val="zh-CN"/>
        </w:rPr>
        <w:t>万元</w:t>
      </w:r>
      <w:r>
        <w:rPr>
          <w:rFonts w:hint="eastAsia"/>
          <w:b/>
          <w:sz w:val="24"/>
          <w:szCs w:val="24"/>
          <w:lang w:val="zh-CN"/>
        </w:rPr>
        <w:t>【从业人员、营业收入、资产总额填报上一年度数据，无上一年度数据的新成立企业可不填报】</w:t>
      </w:r>
      <w:r>
        <w:rPr>
          <w:rFonts w:hint="eastAsia"/>
          <w:sz w:val="24"/>
          <w:szCs w:val="24"/>
          <w:lang w:val="zh-CN"/>
        </w:rPr>
        <w:t>，属于</w:t>
      </w:r>
      <w:r>
        <w:rPr>
          <w:rFonts w:hint="eastAsia"/>
          <w:i/>
          <w:sz w:val="24"/>
          <w:szCs w:val="24"/>
          <w:u w:val="single"/>
          <w:lang w:val="zh-CN"/>
        </w:rPr>
        <w:t>（中型企业、小型企业、微型企业）</w:t>
      </w:r>
      <w:r>
        <w:rPr>
          <w:rFonts w:hint="eastAsia"/>
          <w:sz w:val="24"/>
          <w:szCs w:val="24"/>
          <w:lang w:val="zh-CN"/>
        </w:rPr>
        <w:t>；</w:t>
      </w:r>
    </w:p>
    <w:p>
      <w:pPr>
        <w:pStyle w:val="21"/>
        <w:wordWrap w:val="0"/>
        <w:spacing w:line="440" w:lineRule="exact"/>
        <w:ind w:firstLine="480" w:firstLineChars="200"/>
        <w:jc w:val="left"/>
        <w:rPr>
          <w:sz w:val="24"/>
          <w:szCs w:val="24"/>
          <w:lang w:val="zh-CN"/>
        </w:rPr>
      </w:pPr>
      <w:r>
        <w:rPr>
          <w:rFonts w:hint="eastAsia"/>
          <w:sz w:val="24"/>
          <w:szCs w:val="24"/>
          <w:lang w:val="zh-CN"/>
        </w:rPr>
        <w:t>2.</w:t>
      </w:r>
      <w:r>
        <w:rPr>
          <w:rFonts w:hint="eastAsia"/>
          <w:i/>
          <w:sz w:val="24"/>
          <w:szCs w:val="24"/>
          <w:u w:val="single"/>
          <w:lang w:val="zh-CN"/>
        </w:rPr>
        <w:t>（标的名称）</w:t>
      </w:r>
      <w:r>
        <w:rPr>
          <w:rFonts w:hint="eastAsia"/>
          <w:sz w:val="24"/>
          <w:szCs w:val="24"/>
          <w:lang w:val="zh-CN"/>
        </w:rPr>
        <w:t>，属于</w:t>
      </w:r>
      <w:r>
        <w:rPr>
          <w:rFonts w:hint="eastAsia"/>
          <w:i/>
          <w:sz w:val="24"/>
          <w:szCs w:val="24"/>
          <w:u w:val="single"/>
          <w:lang w:val="zh-CN"/>
        </w:rPr>
        <w:t>（采购文件中明确的所属行业）</w:t>
      </w:r>
      <w:r>
        <w:rPr>
          <w:rFonts w:hint="eastAsia"/>
          <w:sz w:val="24"/>
          <w:szCs w:val="24"/>
          <w:lang w:val="zh-CN"/>
        </w:rPr>
        <w:t>；承建（承接）企业为</w:t>
      </w:r>
      <w:r>
        <w:rPr>
          <w:rFonts w:hint="eastAsia"/>
          <w:i/>
          <w:sz w:val="24"/>
          <w:szCs w:val="24"/>
          <w:u w:val="single"/>
          <w:lang w:val="zh-CN"/>
        </w:rPr>
        <w:t>（企业名称）</w:t>
      </w:r>
      <w:r>
        <w:rPr>
          <w:rFonts w:hint="eastAsia"/>
          <w:sz w:val="24"/>
          <w:szCs w:val="24"/>
          <w:lang w:val="zh-CN"/>
        </w:rPr>
        <w:t>，从业人员</w:t>
      </w:r>
      <w:r>
        <w:rPr>
          <w:rFonts w:hint="eastAsia"/>
          <w:sz w:val="24"/>
          <w:szCs w:val="24"/>
          <w:u w:val="single"/>
          <w:lang w:val="zh-CN"/>
        </w:rPr>
        <w:t xml:space="preserve">        </w:t>
      </w:r>
      <w:r>
        <w:rPr>
          <w:rFonts w:hint="eastAsia"/>
          <w:sz w:val="24"/>
          <w:szCs w:val="24"/>
          <w:lang w:val="zh-CN"/>
        </w:rPr>
        <w:t>人，营业收入为</w:t>
      </w:r>
      <w:r>
        <w:rPr>
          <w:rFonts w:hint="eastAsia"/>
          <w:sz w:val="24"/>
          <w:szCs w:val="24"/>
          <w:u w:val="single"/>
          <w:lang w:val="zh-CN"/>
        </w:rPr>
        <w:t xml:space="preserve">        </w:t>
      </w:r>
      <w:r>
        <w:rPr>
          <w:rFonts w:hint="eastAsia"/>
          <w:sz w:val="24"/>
          <w:szCs w:val="24"/>
          <w:lang w:val="zh-CN"/>
        </w:rPr>
        <w:t>万元，资产总额为</w:t>
      </w:r>
      <w:r>
        <w:rPr>
          <w:rFonts w:hint="eastAsia"/>
          <w:sz w:val="24"/>
          <w:szCs w:val="24"/>
          <w:u w:val="single"/>
          <w:lang w:val="zh-CN"/>
        </w:rPr>
        <w:t xml:space="preserve">        </w:t>
      </w:r>
      <w:r>
        <w:rPr>
          <w:rFonts w:hint="eastAsia"/>
          <w:sz w:val="24"/>
          <w:szCs w:val="24"/>
          <w:lang w:val="zh-CN"/>
        </w:rPr>
        <w:t>万元，属于</w:t>
      </w:r>
      <w:r>
        <w:rPr>
          <w:rFonts w:hint="eastAsia"/>
          <w:i/>
          <w:sz w:val="24"/>
          <w:szCs w:val="24"/>
          <w:u w:val="single"/>
          <w:lang w:val="zh-CN"/>
        </w:rPr>
        <w:t>（中型企业、小型企业、微型企业）</w:t>
      </w:r>
      <w:r>
        <w:rPr>
          <w:rFonts w:hint="eastAsia"/>
          <w:sz w:val="24"/>
          <w:szCs w:val="24"/>
          <w:lang w:val="zh-CN"/>
        </w:rPr>
        <w:t>；</w:t>
      </w:r>
    </w:p>
    <w:p>
      <w:pPr>
        <w:pStyle w:val="21"/>
        <w:spacing w:line="440" w:lineRule="exact"/>
        <w:ind w:firstLine="480" w:firstLineChars="200"/>
        <w:jc w:val="left"/>
        <w:rPr>
          <w:sz w:val="24"/>
          <w:szCs w:val="24"/>
          <w:lang w:val="zh-CN"/>
        </w:rPr>
      </w:pPr>
      <w:r>
        <w:rPr>
          <w:rFonts w:hint="eastAsia"/>
          <w:sz w:val="24"/>
          <w:szCs w:val="24"/>
          <w:lang w:val="zh-CN"/>
        </w:rPr>
        <w:t>以上企业，不属于大企业的分支机构，不存在控股股东为大企业的情形，也不存在与大企业的负责人为同一人的情形。</w:t>
      </w:r>
    </w:p>
    <w:p>
      <w:pPr>
        <w:tabs>
          <w:tab w:val="left" w:pos="-142"/>
        </w:tabs>
        <w:spacing w:line="360" w:lineRule="exact"/>
        <w:ind w:left="-31" w:leftChars="-15" w:right="18" w:firstLine="523" w:firstLineChars="218"/>
        <w:rPr>
          <w:rFonts w:ascii="Time New Roma" w:hAnsi="Time New Roma"/>
          <w:sz w:val="24"/>
          <w:lang w:val="zh-CN"/>
        </w:rPr>
      </w:pPr>
      <w:r>
        <w:rPr>
          <w:rFonts w:hint="eastAsia"/>
          <w:sz w:val="24"/>
          <w:lang w:val="zh-CN"/>
        </w:rPr>
        <w:t>本企业对上述声明内容的真实性负责。如有虚假，将依法承担相应责任。</w:t>
      </w:r>
    </w:p>
    <w:p>
      <w:pPr>
        <w:spacing w:line="360" w:lineRule="exact"/>
        <w:ind w:firstLine="480" w:firstLineChars="200"/>
        <w:jc w:val="left"/>
        <w:rPr>
          <w:rFonts w:ascii="Time New Roma" w:hAnsi="Time New Roma"/>
          <w:sz w:val="24"/>
        </w:rPr>
      </w:pPr>
    </w:p>
    <w:p>
      <w:pPr>
        <w:spacing w:line="360" w:lineRule="exact"/>
        <w:ind w:firstLine="480" w:firstLineChars="200"/>
        <w:jc w:val="left"/>
        <w:rPr>
          <w:rFonts w:ascii="Time New Roma" w:hAnsi="Time New Roma"/>
          <w:sz w:val="24"/>
        </w:rPr>
      </w:pPr>
    </w:p>
    <w:p>
      <w:pPr>
        <w:pStyle w:val="21"/>
        <w:spacing w:after="0" w:line="360" w:lineRule="exact"/>
        <w:ind w:firstLine="480" w:firstLineChars="200"/>
        <w:jc w:val="left"/>
        <w:rPr>
          <w:rFonts w:ascii="Time New Roma" w:hAnsi="Time New Roma"/>
          <w:sz w:val="24"/>
          <w:szCs w:val="24"/>
        </w:rPr>
      </w:pPr>
    </w:p>
    <w:p>
      <w:pPr>
        <w:pStyle w:val="21"/>
        <w:spacing w:after="0" w:line="440" w:lineRule="exact"/>
        <w:ind w:firstLine="480" w:firstLineChars="200"/>
        <w:jc w:val="left"/>
        <w:rPr>
          <w:sz w:val="24"/>
          <w:szCs w:val="24"/>
          <w:lang w:val="zh-CN"/>
        </w:rPr>
      </w:pPr>
      <w:r>
        <w:rPr>
          <w:rFonts w:hint="eastAsia"/>
          <w:sz w:val="24"/>
          <w:szCs w:val="24"/>
          <w:lang w:val="zh-CN"/>
        </w:rPr>
        <w:t>企业名称（盖章）：</w:t>
      </w:r>
    </w:p>
    <w:p>
      <w:pPr>
        <w:pStyle w:val="21"/>
        <w:spacing w:after="0" w:line="360" w:lineRule="exact"/>
        <w:ind w:firstLine="480" w:firstLineChars="200"/>
        <w:jc w:val="left"/>
        <w:rPr>
          <w:sz w:val="24"/>
          <w:szCs w:val="24"/>
          <w:lang w:val="zh-CN"/>
        </w:rPr>
      </w:pPr>
      <w:r>
        <w:rPr>
          <w:rFonts w:hint="eastAsia"/>
          <w:sz w:val="24"/>
          <w:szCs w:val="24"/>
          <w:lang w:val="zh-CN"/>
        </w:rPr>
        <w:t>日期：</w:t>
      </w:r>
    </w:p>
    <w:p>
      <w:pPr>
        <w:pStyle w:val="21"/>
        <w:spacing w:after="0" w:line="360" w:lineRule="exact"/>
        <w:ind w:firstLine="480" w:firstLineChars="200"/>
        <w:jc w:val="left"/>
        <w:rPr>
          <w:sz w:val="24"/>
          <w:szCs w:val="24"/>
          <w:lang w:val="zh-CN"/>
        </w:rPr>
      </w:pPr>
    </w:p>
    <w:p>
      <w:pPr>
        <w:pStyle w:val="21"/>
        <w:spacing w:after="0" w:line="360" w:lineRule="exact"/>
        <w:ind w:firstLine="480" w:firstLineChars="200"/>
        <w:jc w:val="left"/>
        <w:rPr>
          <w:sz w:val="24"/>
          <w:szCs w:val="24"/>
          <w:lang w:val="zh-CN"/>
        </w:rPr>
      </w:pPr>
      <w:r>
        <w:rPr>
          <w:rFonts w:hint="eastAsia"/>
          <w:sz w:val="24"/>
          <w:szCs w:val="24"/>
          <w:lang w:val="zh-CN"/>
        </w:rPr>
        <w:t>注：1、从业人员、营业收入、资产总额填报上一年度数据，无上一年度数据的新成立企业可不填报。2、投标人应当自行核实是否属于小微企业，并认真填写声明函，若有虚假将追究其责任</w:t>
      </w:r>
    </w:p>
    <w:p>
      <w:pPr>
        <w:pStyle w:val="21"/>
        <w:spacing w:after="0" w:line="360" w:lineRule="exact"/>
        <w:ind w:firstLine="480" w:firstLineChars="200"/>
        <w:jc w:val="left"/>
        <w:rPr>
          <w:rFonts w:ascii="Time New Roma" w:hAnsi="Time New Roma"/>
          <w:sz w:val="24"/>
          <w:szCs w:val="24"/>
        </w:rPr>
      </w:pPr>
    </w:p>
    <w:p>
      <w:pPr>
        <w:spacing w:before="240" w:beforeLines="100" w:after="240" w:afterLines="100"/>
        <w:jc w:val="center"/>
        <w:outlineLvl w:val="1"/>
        <w:rPr>
          <w:rFonts w:ascii="Time New Roma" w:hAnsi="Time New Roma"/>
          <w:b/>
          <w:bCs/>
          <w:sz w:val="44"/>
          <w:szCs w:val="44"/>
        </w:rPr>
      </w:pPr>
      <w:r>
        <w:rPr>
          <w:rFonts w:hint="eastAsia" w:ascii="Time New Roma" w:hAnsi="Time New Roma"/>
          <w:sz w:val="24"/>
        </w:rPr>
        <w:br w:type="page"/>
      </w:r>
      <w:bookmarkStart w:id="242" w:name="_Toc22802593"/>
      <w:bookmarkStart w:id="243" w:name="_Toc170229679"/>
      <w:bookmarkStart w:id="244" w:name="_Toc92706604"/>
      <w:bookmarkStart w:id="245" w:name="_Toc492591301"/>
      <w:r>
        <w:rPr>
          <w:rFonts w:hint="eastAsia" w:ascii="Time New Roma" w:hAnsi="Time New Roma"/>
          <w:b/>
          <w:bCs/>
          <w:sz w:val="44"/>
          <w:szCs w:val="44"/>
        </w:rPr>
        <w:t>十、</w:t>
      </w:r>
      <w:bookmarkStart w:id="246" w:name="_Toc495324396"/>
      <w:r>
        <w:rPr>
          <w:rFonts w:hint="eastAsia" w:ascii="Time New Roma" w:hAnsi="Time New Roma"/>
          <w:b/>
          <w:bCs/>
          <w:sz w:val="44"/>
          <w:szCs w:val="44"/>
        </w:rPr>
        <w:t>残疾人福利性单位声明函（可选）</w:t>
      </w:r>
      <w:bookmarkEnd w:id="242"/>
      <w:bookmarkEnd w:id="243"/>
      <w:bookmarkEnd w:id="244"/>
      <w:bookmarkEnd w:id="246"/>
    </w:p>
    <w:p>
      <w:pPr>
        <w:tabs>
          <w:tab w:val="left" w:pos="-142"/>
        </w:tabs>
        <w:spacing w:line="360" w:lineRule="exact"/>
        <w:ind w:left="-31" w:leftChars="-15" w:right="18" w:firstLine="523" w:firstLineChars="218"/>
        <w:rPr>
          <w:sz w:val="24"/>
          <w:szCs w:val="21"/>
        </w:rPr>
      </w:pPr>
      <w:r>
        <w:rPr>
          <w:rFonts w:hint="eastAsia"/>
          <w:sz w:val="24"/>
          <w:szCs w:val="21"/>
        </w:rPr>
        <w:t>本单位郑重声明，根据《财政部 民政部 中国残疾人联合会关于促进残疾人就业政府采购政策的通知》（财库〔2017〕 141号）的规定，本单位为符合条件的残疾人福利性单位，且本单位参加</w:t>
      </w:r>
      <w:r>
        <w:rPr>
          <w:rFonts w:hint="eastAsia"/>
          <w:sz w:val="24"/>
          <w:szCs w:val="21"/>
          <w:u w:val="single"/>
        </w:rPr>
        <w:t xml:space="preserve">            </w:t>
      </w:r>
      <w:r>
        <w:rPr>
          <w:rFonts w:hint="eastAsia"/>
          <w:sz w:val="24"/>
          <w:szCs w:val="21"/>
        </w:rPr>
        <w:t>单位的</w:t>
      </w:r>
      <w:r>
        <w:rPr>
          <w:rFonts w:hint="eastAsia"/>
          <w:sz w:val="24"/>
          <w:szCs w:val="21"/>
          <w:u w:val="single"/>
        </w:rPr>
        <w:t xml:space="preserve">            </w:t>
      </w:r>
      <w:r>
        <w:rPr>
          <w:rFonts w:hint="eastAsia"/>
          <w:sz w:val="24"/>
          <w:szCs w:val="21"/>
        </w:rPr>
        <w:t>项目采购活动提供本单位制造的货物（由本单位承担工程/提供服务），或者提供其他残疾人福利性单位制造的货物（不包括使用非残疾人福利性单位注册商标的货物）。</w:t>
      </w:r>
    </w:p>
    <w:p>
      <w:pPr>
        <w:tabs>
          <w:tab w:val="left" w:pos="-142"/>
        </w:tabs>
        <w:spacing w:line="360" w:lineRule="exact"/>
        <w:ind w:left="-31" w:leftChars="-15" w:right="18" w:firstLine="523" w:firstLineChars="218"/>
        <w:rPr>
          <w:sz w:val="24"/>
          <w:szCs w:val="21"/>
        </w:rPr>
      </w:pPr>
      <w:r>
        <w:rPr>
          <w:rFonts w:hint="eastAsia"/>
          <w:sz w:val="24"/>
          <w:szCs w:val="21"/>
        </w:rPr>
        <w:t>本单位对上述声明的真实性负责。如有虚假，将依法承担相应责任。</w:t>
      </w:r>
    </w:p>
    <w:p>
      <w:pPr>
        <w:tabs>
          <w:tab w:val="left" w:pos="-142"/>
        </w:tabs>
        <w:spacing w:line="360" w:lineRule="exact"/>
        <w:ind w:left="-31" w:leftChars="-15" w:right="18" w:firstLine="523" w:firstLineChars="218"/>
        <w:rPr>
          <w:sz w:val="24"/>
          <w:szCs w:val="21"/>
        </w:rPr>
      </w:pPr>
    </w:p>
    <w:p>
      <w:pPr>
        <w:pStyle w:val="21"/>
        <w:spacing w:after="0" w:line="360" w:lineRule="exact"/>
        <w:ind w:firstLine="482" w:firstLineChars="200"/>
        <w:jc w:val="left"/>
        <w:rPr>
          <w:rFonts w:ascii="Time New Roma" w:hAnsi="Time New Roma"/>
          <w:b/>
          <w:sz w:val="24"/>
          <w:szCs w:val="24"/>
        </w:rPr>
      </w:pPr>
      <w:r>
        <w:rPr>
          <w:rFonts w:hint="eastAsia" w:ascii="Time New Roma" w:hAnsi="Time New Roma"/>
          <w:b/>
          <w:sz w:val="24"/>
          <w:szCs w:val="24"/>
        </w:rPr>
        <w:t>注：非残疾人福利性单位无需填写。</w:t>
      </w:r>
    </w:p>
    <w:p>
      <w:pPr>
        <w:pStyle w:val="21"/>
        <w:spacing w:after="0" w:line="360" w:lineRule="exact"/>
        <w:ind w:firstLine="480" w:firstLineChars="200"/>
        <w:jc w:val="left"/>
        <w:rPr>
          <w:rFonts w:ascii="Time New Roma" w:hAnsi="Time New Roma"/>
          <w:sz w:val="24"/>
          <w:szCs w:val="24"/>
        </w:rPr>
      </w:pPr>
    </w:p>
    <w:p>
      <w:pPr>
        <w:pStyle w:val="21"/>
        <w:spacing w:after="0" w:line="360" w:lineRule="exact"/>
        <w:ind w:firstLine="480" w:firstLineChars="200"/>
        <w:jc w:val="left"/>
        <w:rPr>
          <w:rFonts w:ascii="Time New Roma" w:hAnsi="Time New Roma"/>
          <w:sz w:val="24"/>
          <w:szCs w:val="24"/>
        </w:rPr>
      </w:pPr>
    </w:p>
    <w:p>
      <w:pPr>
        <w:pStyle w:val="21"/>
        <w:spacing w:after="0" w:line="360" w:lineRule="exact"/>
        <w:ind w:firstLine="480" w:firstLineChars="200"/>
        <w:jc w:val="left"/>
        <w:rPr>
          <w:rFonts w:ascii="Time New Roma" w:hAnsi="Time New Roma"/>
          <w:sz w:val="24"/>
          <w:szCs w:val="24"/>
        </w:rPr>
      </w:pPr>
      <w:r>
        <w:rPr>
          <w:rFonts w:hint="eastAsia" w:ascii="Time New Roma" w:hAnsi="Time New Roma"/>
          <w:sz w:val="24"/>
          <w:szCs w:val="24"/>
        </w:rPr>
        <w:t>单位名称（盖章）：</w:t>
      </w:r>
    </w:p>
    <w:p>
      <w:pPr>
        <w:pStyle w:val="21"/>
        <w:spacing w:after="0" w:line="360" w:lineRule="exact"/>
        <w:ind w:firstLine="480" w:firstLineChars="200"/>
        <w:jc w:val="left"/>
        <w:rPr>
          <w:rFonts w:ascii="Time New Roma" w:hAnsi="Time New Roma"/>
          <w:sz w:val="24"/>
          <w:szCs w:val="24"/>
        </w:rPr>
      </w:pPr>
      <w:r>
        <w:rPr>
          <w:rFonts w:hint="eastAsia" w:ascii="Time New Roma" w:hAnsi="Time New Roma"/>
          <w:sz w:val="24"/>
          <w:szCs w:val="24"/>
        </w:rPr>
        <w:t>日  期：</w:t>
      </w:r>
    </w:p>
    <w:p/>
    <w:bookmarkEnd w:id="245"/>
    <w:p>
      <w:pPr>
        <w:spacing w:before="240" w:beforeLines="100" w:after="240" w:afterLines="100"/>
        <w:jc w:val="center"/>
        <w:outlineLvl w:val="1"/>
        <w:rPr>
          <w:rFonts w:ascii="Time New Roma" w:hAnsi="Time New Roma"/>
          <w:sz w:val="28"/>
          <w:szCs w:val="28"/>
        </w:rPr>
      </w:pPr>
      <w:bookmarkStart w:id="247" w:name="_Toc492591302"/>
      <w:r>
        <w:rPr>
          <w:rFonts w:hint="eastAsia" w:ascii="Time New Roma" w:hAnsi="Time New Roma"/>
          <w:b/>
          <w:bCs/>
          <w:sz w:val="44"/>
          <w:szCs w:val="44"/>
        </w:rPr>
        <w:br w:type="page"/>
      </w:r>
      <w:bookmarkStart w:id="248" w:name="_Toc170229680"/>
      <w:bookmarkStart w:id="249" w:name="_Toc92706605"/>
      <w:bookmarkStart w:id="250" w:name="_Toc22802594"/>
      <w:r>
        <w:rPr>
          <w:rFonts w:hint="eastAsia" w:ascii="Time New Roma" w:hAnsi="Time New Roma"/>
          <w:b/>
          <w:bCs/>
          <w:sz w:val="44"/>
          <w:szCs w:val="44"/>
        </w:rPr>
        <w:t>十一、中标服务费承诺书</w:t>
      </w:r>
      <w:bookmarkEnd w:id="247"/>
      <w:bookmarkEnd w:id="248"/>
      <w:bookmarkEnd w:id="249"/>
      <w:bookmarkEnd w:id="250"/>
    </w:p>
    <w:p>
      <w:pPr>
        <w:pStyle w:val="24"/>
        <w:spacing w:line="360" w:lineRule="exact"/>
        <w:rPr>
          <w:rFonts w:ascii="Time New Roma" w:hAnsi="Time New Roma"/>
          <w:sz w:val="24"/>
          <w:szCs w:val="24"/>
        </w:rPr>
      </w:pPr>
      <w:r>
        <w:rPr>
          <w:rFonts w:hint="eastAsia" w:ascii="Time New Roma" w:hAnsi="Time New Roma"/>
          <w:kern w:val="0"/>
          <w:sz w:val="24"/>
          <w:szCs w:val="24"/>
        </w:rPr>
        <w:t>致：</w:t>
      </w:r>
      <w:r>
        <w:rPr>
          <w:rFonts w:hint="eastAsia" w:ascii="Time New Roma" w:hAnsi="Time New Roma"/>
          <w:sz w:val="24"/>
          <w:szCs w:val="24"/>
        </w:rPr>
        <w:t>广东中元招标代理有限公司</w:t>
      </w:r>
    </w:p>
    <w:p>
      <w:pPr>
        <w:spacing w:line="360" w:lineRule="exact"/>
        <w:ind w:right="893" w:firstLine="420"/>
        <w:rPr>
          <w:rFonts w:ascii="Time New Roma" w:hAnsi="Time New Roma"/>
          <w:sz w:val="24"/>
        </w:rPr>
      </w:pPr>
    </w:p>
    <w:p>
      <w:pPr>
        <w:tabs>
          <w:tab w:val="left" w:pos="-142"/>
        </w:tabs>
        <w:spacing w:line="360" w:lineRule="exact"/>
        <w:ind w:left="-31" w:leftChars="-15" w:right="18" w:firstLine="523" w:firstLineChars="218"/>
        <w:rPr>
          <w:rFonts w:ascii="Time New Roma" w:hAnsi="Time New Roma"/>
          <w:sz w:val="24"/>
          <w:lang w:val="zh-CN"/>
        </w:rPr>
      </w:pPr>
      <w:r>
        <w:rPr>
          <w:rFonts w:hint="eastAsia" w:ascii="Time New Roma" w:hAnsi="Time New Roma"/>
          <w:sz w:val="24"/>
          <w:lang w:val="zh-CN"/>
        </w:rPr>
        <w:t>我公司在贵单位代理的</w:t>
      </w:r>
      <w:r>
        <w:rPr>
          <w:rFonts w:hint="eastAsia" w:ascii="Time New Roma" w:hAnsi="Time New Roma"/>
          <w:sz w:val="24"/>
          <w:u w:val="single"/>
        </w:rPr>
        <w:t xml:space="preserve">      （项目名称）       </w:t>
      </w:r>
      <w:r>
        <w:rPr>
          <w:rFonts w:hint="eastAsia" w:ascii="Time New Roma" w:hAnsi="Time New Roma"/>
          <w:sz w:val="24"/>
        </w:rPr>
        <w:t>（</w:t>
      </w:r>
      <w:r>
        <w:rPr>
          <w:rFonts w:hint="eastAsia" w:ascii="Time New Roma" w:hAnsi="Time New Roma"/>
          <w:sz w:val="24"/>
          <w:lang w:val="zh-CN"/>
        </w:rPr>
        <w:t>采购编号：</w:t>
      </w:r>
      <w:r>
        <w:rPr>
          <w:rFonts w:hint="eastAsia" w:ascii="Time New Roma" w:hAnsi="Time New Roma"/>
          <w:sz w:val="24"/>
          <w:u w:val="single"/>
        </w:rPr>
        <w:t xml:space="preserve">             </w:t>
      </w:r>
      <w:r>
        <w:rPr>
          <w:rFonts w:hint="eastAsia" w:ascii="Time New Roma" w:hAnsi="Time New Roma"/>
          <w:sz w:val="24"/>
        </w:rPr>
        <w:t xml:space="preserve"> ）</w:t>
      </w:r>
      <w:r>
        <w:rPr>
          <w:rFonts w:hint="eastAsia" w:ascii="Time New Roma" w:hAnsi="Time New Roma"/>
          <w:sz w:val="24"/>
          <w:lang w:val="zh-CN"/>
        </w:rPr>
        <w:t>招标中若获中标，我们保证在领取中标通知书原件的同时按招标文件的规定，以电汇、现金或经贵单位认可的一种方式，向贵单位即广东中元招标代理有限公司指定的银行账号，一次性支付中标服务费，服务费按国家计委文件“计价格[2002]1980号文”和国家发展改革委员会办公厅颁布的《国家发展改革委办公厅关于招标代理机构服务收费有关问题》的通知（发改办价格[2003]857号）的规定执行。</w:t>
      </w:r>
    </w:p>
    <w:p>
      <w:pPr>
        <w:spacing w:line="360" w:lineRule="exact"/>
        <w:ind w:right="893" w:firstLine="480"/>
        <w:rPr>
          <w:rFonts w:ascii="Time New Roma" w:hAnsi="Time New Roma"/>
          <w:sz w:val="24"/>
          <w:lang w:val="zh-CN"/>
        </w:rPr>
      </w:pPr>
      <w:r>
        <w:rPr>
          <w:rFonts w:hint="eastAsia" w:ascii="Time New Roma" w:hAnsi="Time New Roma"/>
          <w:sz w:val="24"/>
          <w:lang w:val="zh-CN"/>
        </w:rPr>
        <w:t>特此承诺。</w:t>
      </w:r>
    </w:p>
    <w:p>
      <w:pPr>
        <w:spacing w:line="360" w:lineRule="exact"/>
        <w:ind w:right="893"/>
        <w:rPr>
          <w:rFonts w:ascii="Time New Roma" w:hAnsi="Time New Roma"/>
          <w:sz w:val="24"/>
          <w:lang w:val="zh-CN"/>
        </w:rPr>
      </w:pPr>
    </w:p>
    <w:p>
      <w:pPr>
        <w:spacing w:line="360" w:lineRule="exact"/>
        <w:ind w:right="893"/>
        <w:rPr>
          <w:rFonts w:ascii="Time New Roma" w:hAnsi="Time New Roma"/>
          <w:sz w:val="24"/>
          <w:lang w:val="zh-CN"/>
        </w:rPr>
      </w:pPr>
    </w:p>
    <w:p>
      <w:pPr>
        <w:spacing w:line="360" w:lineRule="exact"/>
        <w:ind w:right="893"/>
        <w:rPr>
          <w:rFonts w:ascii="Time New Roma" w:hAnsi="Time New Roma"/>
          <w:sz w:val="24"/>
          <w:lang w:val="zh-CN"/>
        </w:rPr>
      </w:pPr>
    </w:p>
    <w:p>
      <w:pPr>
        <w:spacing w:line="360" w:lineRule="exact"/>
        <w:ind w:firstLine="480" w:firstLineChars="200"/>
        <w:rPr>
          <w:rFonts w:ascii="Time New Roma" w:hAnsi="Time New Roma"/>
          <w:sz w:val="24"/>
        </w:rPr>
      </w:pPr>
      <w:r>
        <w:rPr>
          <w:rFonts w:hint="eastAsia" w:ascii="Time New Roma" w:hAnsi="Time New Roma"/>
          <w:sz w:val="24"/>
        </w:rPr>
        <w:t>投标人名称（加盖公章）：</w:t>
      </w:r>
    </w:p>
    <w:p>
      <w:pPr>
        <w:spacing w:line="360" w:lineRule="exact"/>
        <w:ind w:firstLine="480" w:firstLineChars="200"/>
        <w:rPr>
          <w:rFonts w:ascii="Time New Roma" w:hAnsi="Time New Roma"/>
          <w:sz w:val="24"/>
        </w:rPr>
      </w:pPr>
      <w:r>
        <w:rPr>
          <w:rFonts w:hint="eastAsia" w:ascii="Time New Roma" w:hAnsi="Time New Roma"/>
          <w:sz w:val="24"/>
        </w:rPr>
        <w:t>投标人地址：</w:t>
      </w:r>
    </w:p>
    <w:p>
      <w:pPr>
        <w:spacing w:line="360" w:lineRule="exact"/>
        <w:ind w:firstLine="480" w:firstLineChars="200"/>
        <w:rPr>
          <w:rFonts w:ascii="Time New Roma" w:hAnsi="Time New Roma"/>
          <w:sz w:val="24"/>
        </w:rPr>
      </w:pPr>
      <w:r>
        <w:rPr>
          <w:rFonts w:hint="eastAsia" w:ascii="Time New Roma" w:hAnsi="Time New Roma"/>
          <w:sz w:val="24"/>
        </w:rPr>
        <w:t>电话：</w:t>
      </w:r>
      <w:r>
        <w:rPr>
          <w:rFonts w:ascii="Time New Roma" w:hAnsi="Time New Roma"/>
          <w:sz w:val="24"/>
        </w:rPr>
        <w:t xml:space="preserve">     </w:t>
      </w:r>
      <w:r>
        <w:rPr>
          <w:rFonts w:hint="eastAsia" w:ascii="Time New Roma" w:hAnsi="Time New Roma"/>
          <w:sz w:val="24"/>
        </w:rPr>
        <w:t xml:space="preserve">    </w:t>
      </w:r>
      <w:r>
        <w:rPr>
          <w:rFonts w:ascii="Time New Roma" w:hAnsi="Time New Roma"/>
          <w:sz w:val="24"/>
        </w:rPr>
        <w:t xml:space="preserve"> </w:t>
      </w:r>
      <w:r>
        <w:rPr>
          <w:rFonts w:hint="eastAsia" w:ascii="Time New Roma" w:hAnsi="Time New Roma"/>
          <w:sz w:val="24"/>
        </w:rPr>
        <w:t>传真：</w:t>
      </w:r>
    </w:p>
    <w:p>
      <w:pPr>
        <w:spacing w:line="360" w:lineRule="exact"/>
        <w:ind w:firstLine="480" w:firstLineChars="200"/>
        <w:rPr>
          <w:rFonts w:ascii="Time New Roma" w:hAnsi="Time New Roma"/>
          <w:sz w:val="24"/>
        </w:rPr>
      </w:pPr>
      <w:r>
        <w:rPr>
          <w:rFonts w:hint="eastAsia" w:ascii="Time New Roma" w:hAnsi="Time New Roma"/>
          <w:sz w:val="24"/>
        </w:rPr>
        <w:t>邮箱：</w:t>
      </w:r>
      <w:r>
        <w:rPr>
          <w:rFonts w:ascii="Time New Roma" w:hAnsi="Time New Roma"/>
          <w:sz w:val="24"/>
        </w:rPr>
        <w:t xml:space="preserve">          </w:t>
      </w:r>
      <w:r>
        <w:rPr>
          <w:rFonts w:hint="eastAsia" w:ascii="Time New Roma" w:hAnsi="Time New Roma"/>
          <w:sz w:val="24"/>
        </w:rPr>
        <w:t>邮编：</w:t>
      </w:r>
    </w:p>
    <w:p>
      <w:pPr>
        <w:spacing w:line="360" w:lineRule="exact"/>
        <w:ind w:firstLine="480" w:firstLineChars="200"/>
        <w:rPr>
          <w:rFonts w:ascii="Time New Roma" w:hAnsi="Time New Roma"/>
          <w:sz w:val="24"/>
        </w:rPr>
      </w:pPr>
      <w:r>
        <w:rPr>
          <w:rFonts w:hint="eastAsia" w:ascii="Time New Roma" w:hAnsi="Time New Roma"/>
          <w:sz w:val="24"/>
        </w:rPr>
        <w:t>投标人法定代表人或受委托人（签名或盖私章）：</w:t>
      </w:r>
    </w:p>
    <w:p>
      <w:pPr>
        <w:pStyle w:val="21"/>
        <w:spacing w:after="0" w:line="360" w:lineRule="exact"/>
        <w:ind w:firstLine="480" w:firstLineChars="200"/>
        <w:jc w:val="left"/>
        <w:rPr>
          <w:rFonts w:ascii="Time New Roma" w:hAnsi="Time New Roma"/>
          <w:sz w:val="24"/>
        </w:rPr>
      </w:pPr>
      <w:r>
        <w:rPr>
          <w:rFonts w:hint="eastAsia" w:ascii="Time New Roma" w:hAnsi="Time New Roma"/>
          <w:sz w:val="24"/>
        </w:rPr>
        <w:t>承诺日期：</w:t>
      </w:r>
    </w:p>
    <w:p>
      <w:pPr>
        <w:spacing w:before="240" w:beforeLines="100" w:after="240" w:afterLines="100"/>
        <w:jc w:val="center"/>
        <w:outlineLvl w:val="1"/>
        <w:rPr>
          <w:rFonts w:ascii="Time New Roma" w:hAnsi="Time New Roma"/>
        </w:rPr>
      </w:pPr>
      <w:r>
        <w:rPr>
          <w:rFonts w:ascii="Time New Roma" w:hAnsi="Time New Roma"/>
        </w:rPr>
        <w:br w:type="page"/>
      </w:r>
      <w:bookmarkStart w:id="251" w:name="_Toc492591303"/>
      <w:bookmarkStart w:id="252" w:name="_Toc335832390"/>
      <w:bookmarkStart w:id="253" w:name="_Toc22802595"/>
      <w:bookmarkStart w:id="254" w:name="_Toc319915926"/>
      <w:bookmarkStart w:id="255" w:name="_Toc356458176"/>
      <w:bookmarkStart w:id="256" w:name="_Toc170229681"/>
      <w:bookmarkStart w:id="257" w:name="_Toc92706606"/>
      <w:r>
        <w:rPr>
          <w:rFonts w:hint="eastAsia" w:ascii="Time New Roma" w:hAnsi="Time New Roma"/>
          <w:b/>
          <w:bCs/>
          <w:sz w:val="44"/>
          <w:szCs w:val="44"/>
        </w:rPr>
        <w:t>十二、投标保证金汇入情况说明</w:t>
      </w:r>
      <w:bookmarkEnd w:id="251"/>
      <w:bookmarkEnd w:id="252"/>
      <w:bookmarkEnd w:id="253"/>
      <w:bookmarkEnd w:id="254"/>
      <w:bookmarkEnd w:id="255"/>
      <w:bookmarkEnd w:id="256"/>
      <w:bookmarkEnd w:id="257"/>
    </w:p>
    <w:p>
      <w:pPr>
        <w:spacing w:line="440" w:lineRule="exact"/>
        <w:jc w:val="left"/>
        <w:rPr>
          <w:rFonts w:ascii="Time New Roma" w:hAnsi="Time New Roma"/>
          <w:sz w:val="24"/>
        </w:rPr>
      </w:pPr>
      <w:r>
        <w:rPr>
          <w:rFonts w:hint="eastAsia" w:ascii="Time New Roma" w:hAnsi="Time New Roma"/>
          <w:sz w:val="24"/>
        </w:rPr>
        <w:t xml:space="preserve">广东中元招标代理有限公司： </w:t>
      </w:r>
    </w:p>
    <w:p>
      <w:pPr>
        <w:spacing w:line="440" w:lineRule="exact"/>
        <w:ind w:firstLine="480" w:firstLineChars="200"/>
        <w:jc w:val="left"/>
        <w:rPr>
          <w:rFonts w:ascii="Time New Roma" w:hAnsi="Time New Roma"/>
          <w:sz w:val="24"/>
        </w:rPr>
      </w:pPr>
      <w:r>
        <w:rPr>
          <w:rFonts w:hint="eastAsia" w:ascii="Time New Roma" w:hAnsi="Time New Roma"/>
          <w:sz w:val="24"/>
        </w:rPr>
        <w:t>本单位已按</w:t>
      </w:r>
      <w:r>
        <w:rPr>
          <w:rFonts w:hint="eastAsia" w:ascii="Time New Roma" w:hAnsi="Time New Roma"/>
          <w:sz w:val="24"/>
          <w:u w:val="single"/>
        </w:rPr>
        <w:t xml:space="preserve">      （项目名称）       </w:t>
      </w:r>
      <w:r>
        <w:rPr>
          <w:rFonts w:hint="eastAsia" w:ascii="Time New Roma" w:hAnsi="Time New Roma"/>
          <w:sz w:val="24"/>
        </w:rPr>
        <w:t>（采购编号：</w:t>
      </w:r>
      <w:r>
        <w:rPr>
          <w:rFonts w:hint="eastAsia" w:ascii="Time New Roma" w:hAnsi="Time New Roma"/>
          <w:sz w:val="24"/>
          <w:u w:val="single"/>
        </w:rPr>
        <w:t xml:space="preserve">     </w:t>
      </w:r>
      <w:r>
        <w:rPr>
          <w:rFonts w:hint="eastAsia" w:ascii="Time New Roma" w:hAnsi="Time New Roma"/>
          <w:sz w:val="24"/>
        </w:rPr>
        <w:t>）的招标文件要求，于</w:t>
      </w:r>
      <w:r>
        <w:rPr>
          <w:rFonts w:hint="eastAsia" w:ascii="Time New Roma" w:hAnsi="Time New Roma"/>
          <w:sz w:val="24"/>
          <w:u w:val="single"/>
        </w:rPr>
        <w:t xml:space="preserve">    </w:t>
      </w:r>
      <w:r>
        <w:rPr>
          <w:rFonts w:hint="eastAsia" w:ascii="Time New Roma" w:hAnsi="Time New Roma"/>
          <w:sz w:val="24"/>
        </w:rPr>
        <w:t>年</w:t>
      </w:r>
      <w:r>
        <w:rPr>
          <w:rFonts w:hint="eastAsia" w:ascii="Time New Roma" w:hAnsi="Time New Roma"/>
          <w:sz w:val="24"/>
          <w:u w:val="single"/>
        </w:rPr>
        <w:t xml:space="preserve">    </w:t>
      </w:r>
      <w:r>
        <w:rPr>
          <w:rFonts w:hint="eastAsia" w:ascii="Time New Roma" w:hAnsi="Time New Roma"/>
          <w:sz w:val="24"/>
        </w:rPr>
        <w:t>月</w:t>
      </w:r>
      <w:r>
        <w:rPr>
          <w:rFonts w:hint="eastAsia" w:ascii="Time New Roma" w:hAnsi="Time New Roma"/>
          <w:sz w:val="24"/>
          <w:u w:val="single"/>
        </w:rPr>
        <w:t xml:space="preserve">    </w:t>
      </w:r>
      <w:r>
        <w:rPr>
          <w:rFonts w:hint="eastAsia" w:ascii="Time New Roma" w:hAnsi="Time New Roma"/>
          <w:sz w:val="24"/>
        </w:rPr>
        <w:t>日前以</w:t>
      </w:r>
      <w:r>
        <w:rPr>
          <w:rFonts w:hint="eastAsia" w:ascii="Time New Roma" w:hAnsi="Time New Roma"/>
          <w:sz w:val="24"/>
          <w:u w:val="single"/>
        </w:rPr>
        <w:t xml:space="preserve">           </w:t>
      </w:r>
      <w:r>
        <w:rPr>
          <w:rFonts w:hint="eastAsia" w:ascii="Time New Roma" w:hAnsi="Time New Roma"/>
          <w:sz w:val="24"/>
        </w:rPr>
        <w:t>（付款形式）方式汇入指定账户（账户名称：</w:t>
      </w:r>
      <w:r>
        <w:rPr>
          <w:rFonts w:hint="eastAsia" w:ascii="Time New Roma" w:hAnsi="Time New Roma"/>
          <w:bCs/>
          <w:sz w:val="24"/>
          <w:u w:val="single"/>
        </w:rPr>
        <w:t xml:space="preserve">              </w:t>
      </w:r>
      <w:r>
        <w:rPr>
          <w:rFonts w:hint="eastAsia" w:ascii="Time New Roma" w:hAnsi="Time New Roma"/>
          <w:sz w:val="24"/>
        </w:rPr>
        <w:t>，账号</w:t>
      </w:r>
      <w:r>
        <w:rPr>
          <w:rFonts w:hint="eastAsia" w:ascii="Time New Roma" w:hAnsi="Time New Roma"/>
          <w:bCs/>
          <w:sz w:val="24"/>
          <w:u w:val="single"/>
        </w:rPr>
        <w:t xml:space="preserve">           </w:t>
      </w:r>
      <w:r>
        <w:rPr>
          <w:rFonts w:hint="eastAsia" w:ascii="Time New Roma" w:hAnsi="Time New Roma"/>
          <w:sz w:val="24"/>
        </w:rPr>
        <w:t>，开户银行：</w:t>
      </w:r>
      <w:r>
        <w:rPr>
          <w:rFonts w:hint="eastAsia" w:ascii="Time New Roma" w:hAnsi="Time New Roma"/>
          <w:bCs/>
          <w:sz w:val="24"/>
          <w:u w:val="single"/>
        </w:rPr>
        <w:t xml:space="preserve">             </w:t>
      </w:r>
      <w:r>
        <w:rPr>
          <w:rFonts w:hint="eastAsia" w:ascii="Time New Roma" w:hAnsi="Time New Roma"/>
          <w:sz w:val="24"/>
        </w:rPr>
        <w:t>）。</w:t>
      </w:r>
    </w:p>
    <w:p>
      <w:pPr>
        <w:spacing w:line="440" w:lineRule="exact"/>
        <w:ind w:firstLine="480" w:firstLineChars="200"/>
        <w:jc w:val="left"/>
        <w:rPr>
          <w:rFonts w:ascii="Time New Roma" w:hAnsi="Time New Roma"/>
          <w:sz w:val="24"/>
        </w:rPr>
      </w:pPr>
      <w:r>
        <w:rPr>
          <w:rFonts w:hint="eastAsia" w:ascii="Time New Roma" w:hAnsi="Time New Roma"/>
          <w:sz w:val="24"/>
        </w:rPr>
        <w:t>投标单位投标保证金的汇款情况：（详见附件－投标保证金进账单）</w:t>
      </w:r>
    </w:p>
    <w:p>
      <w:pPr>
        <w:spacing w:line="440" w:lineRule="exact"/>
        <w:ind w:firstLine="480" w:firstLineChars="200"/>
        <w:jc w:val="left"/>
        <w:rPr>
          <w:rFonts w:ascii="Time New Roma" w:hAnsi="Time New Roma"/>
          <w:sz w:val="24"/>
        </w:rPr>
      </w:pPr>
      <w:r>
        <w:rPr>
          <w:rFonts w:hint="eastAsia" w:ascii="Time New Roma" w:hAnsi="Time New Roma"/>
          <w:sz w:val="24"/>
        </w:rPr>
        <w:t>汇出时间：</w:t>
      </w:r>
      <w:r>
        <w:rPr>
          <w:rFonts w:hint="eastAsia" w:ascii="Time New Roma" w:hAnsi="Time New Roma"/>
          <w:sz w:val="24"/>
          <w:u w:val="single"/>
        </w:rPr>
        <w:t xml:space="preserve">    </w:t>
      </w:r>
      <w:r>
        <w:rPr>
          <w:rFonts w:hint="eastAsia" w:ascii="Time New Roma" w:hAnsi="Time New Roma"/>
          <w:sz w:val="24"/>
        </w:rPr>
        <w:t>年</w:t>
      </w:r>
      <w:r>
        <w:rPr>
          <w:rFonts w:hint="eastAsia" w:ascii="Time New Roma" w:hAnsi="Time New Roma"/>
          <w:sz w:val="24"/>
          <w:u w:val="single"/>
        </w:rPr>
        <w:t xml:space="preserve">    </w:t>
      </w:r>
      <w:r>
        <w:rPr>
          <w:rFonts w:hint="eastAsia" w:ascii="Time New Roma" w:hAnsi="Time New Roma"/>
          <w:sz w:val="24"/>
        </w:rPr>
        <w:t>月</w:t>
      </w:r>
      <w:r>
        <w:rPr>
          <w:rFonts w:hint="eastAsia" w:ascii="Time New Roma" w:hAnsi="Time New Roma"/>
          <w:sz w:val="24"/>
          <w:u w:val="single"/>
        </w:rPr>
        <w:t xml:space="preserve">    </w:t>
      </w:r>
      <w:r>
        <w:rPr>
          <w:rFonts w:hint="eastAsia" w:ascii="Time New Roma" w:hAnsi="Time New Roma"/>
          <w:sz w:val="24"/>
        </w:rPr>
        <w:t>日；</w:t>
      </w:r>
    </w:p>
    <w:p>
      <w:pPr>
        <w:spacing w:line="440" w:lineRule="exact"/>
        <w:ind w:firstLine="480" w:firstLineChars="200"/>
        <w:jc w:val="left"/>
        <w:rPr>
          <w:rFonts w:ascii="Time New Roma" w:hAnsi="Time New Roma" w:cs="宋体"/>
          <w:sz w:val="24"/>
          <w:u w:val="single"/>
        </w:rPr>
      </w:pPr>
      <w:r>
        <w:rPr>
          <w:rFonts w:hint="eastAsia" w:ascii="Time New Roma" w:hAnsi="Time New Roma"/>
          <w:sz w:val="24"/>
        </w:rPr>
        <w:t>汇</w:t>
      </w:r>
      <w:r>
        <w:rPr>
          <w:rFonts w:hint="eastAsia" w:ascii="Time New Roma" w:hAnsi="Time New Roma" w:cs="宋体"/>
          <w:sz w:val="24"/>
        </w:rPr>
        <w:t>款金额：（大写）人民币</w:t>
      </w:r>
      <w:r>
        <w:rPr>
          <w:rFonts w:hint="eastAsia" w:ascii="Time New Roma" w:hAnsi="Time New Roma" w:cs="宋体"/>
          <w:sz w:val="24"/>
          <w:u w:val="single"/>
        </w:rPr>
        <w:t xml:space="preserve">                元整</w:t>
      </w:r>
    </w:p>
    <w:p>
      <w:pPr>
        <w:spacing w:line="440" w:lineRule="exact"/>
        <w:ind w:firstLine="1560" w:firstLineChars="650"/>
        <w:jc w:val="left"/>
        <w:rPr>
          <w:rFonts w:ascii="Time New Roma" w:hAnsi="Time New Roma" w:cs="宋体"/>
          <w:sz w:val="24"/>
          <w:u w:val="single"/>
        </w:rPr>
      </w:pPr>
      <w:r>
        <w:rPr>
          <w:rFonts w:hint="eastAsia" w:ascii="Time New Roma" w:hAnsi="Time New Roma" w:cs="宋体"/>
          <w:sz w:val="24"/>
        </w:rPr>
        <w:t>（小写：¥</w:t>
      </w:r>
      <w:r>
        <w:rPr>
          <w:rFonts w:hint="eastAsia" w:ascii="Time New Roma" w:hAnsi="Time New Roma" w:cs="宋体"/>
          <w:sz w:val="24"/>
          <w:u w:val="single"/>
        </w:rPr>
        <w:t xml:space="preserve">                     </w:t>
      </w:r>
      <w:r>
        <w:rPr>
          <w:rFonts w:hint="eastAsia" w:ascii="Time New Roma" w:hAnsi="Time New Roma" w:cs="宋体"/>
          <w:sz w:val="24"/>
        </w:rPr>
        <w:t>元）</w:t>
      </w:r>
    </w:p>
    <w:p>
      <w:pPr>
        <w:spacing w:line="440" w:lineRule="exact"/>
        <w:ind w:firstLine="480" w:firstLineChars="200"/>
        <w:jc w:val="left"/>
        <w:rPr>
          <w:rFonts w:ascii="Time New Roma" w:hAnsi="Time New Roma" w:cs="Verdana"/>
          <w:sz w:val="24"/>
          <w:u w:val="single"/>
        </w:rPr>
      </w:pPr>
      <w:r>
        <w:rPr>
          <w:rFonts w:hint="eastAsia" w:ascii="Time New Roma" w:hAnsi="Time New Roma"/>
          <w:sz w:val="24"/>
        </w:rPr>
        <w:t>汇款账户名称：</w:t>
      </w:r>
      <w:r>
        <w:rPr>
          <w:rFonts w:hint="eastAsia" w:ascii="Time New Roma" w:hAnsi="Time New Roma"/>
          <w:sz w:val="24"/>
          <w:u w:val="single"/>
        </w:rPr>
        <w:t xml:space="preserve">  （必须是投标时使用的单位名称）    </w:t>
      </w:r>
    </w:p>
    <w:p>
      <w:pPr>
        <w:spacing w:line="440" w:lineRule="exact"/>
        <w:ind w:firstLine="480" w:firstLineChars="200"/>
        <w:jc w:val="left"/>
        <w:rPr>
          <w:rFonts w:ascii="Time New Roma" w:hAnsi="Time New Roma"/>
          <w:sz w:val="24"/>
        </w:rPr>
      </w:pPr>
      <w:r>
        <w:rPr>
          <w:rFonts w:hint="eastAsia" w:ascii="Time New Roma" w:hAnsi="Time New Roma"/>
          <w:sz w:val="24"/>
        </w:rPr>
        <w:t>账        号：</w:t>
      </w:r>
      <w:r>
        <w:rPr>
          <w:rFonts w:hint="eastAsia" w:ascii="Time New Roma" w:hAnsi="Time New Roma"/>
          <w:sz w:val="24"/>
          <w:u w:val="single"/>
        </w:rPr>
        <w:t xml:space="preserve">  （必须是投标时使用的账号）        </w:t>
      </w:r>
    </w:p>
    <w:p>
      <w:pPr>
        <w:spacing w:line="440" w:lineRule="exact"/>
        <w:ind w:firstLine="480" w:firstLineChars="200"/>
        <w:jc w:val="left"/>
        <w:rPr>
          <w:rFonts w:ascii="Time New Roma" w:hAnsi="Time New Roma"/>
          <w:sz w:val="24"/>
          <w:u w:val="single"/>
        </w:rPr>
      </w:pPr>
      <w:r>
        <w:rPr>
          <w:rFonts w:hint="eastAsia" w:ascii="Time New Roma" w:hAnsi="Time New Roma"/>
          <w:sz w:val="24"/>
        </w:rPr>
        <w:t>开 户  银 行：</w:t>
      </w:r>
      <w:r>
        <w:rPr>
          <w:rFonts w:hint="eastAsia" w:ascii="Time New Roma" w:hAnsi="Time New Roma"/>
          <w:sz w:val="24"/>
          <w:u w:val="single"/>
        </w:rPr>
        <w:t xml:space="preserve">  （      银行  省  市  分行/支行）  </w:t>
      </w:r>
    </w:p>
    <w:p>
      <w:pPr>
        <w:spacing w:line="440" w:lineRule="exact"/>
        <w:ind w:firstLine="480" w:firstLineChars="200"/>
        <w:jc w:val="left"/>
        <w:rPr>
          <w:rFonts w:ascii="Time New Roma" w:hAnsi="Time New Roma"/>
          <w:sz w:val="24"/>
        </w:rPr>
      </w:pPr>
      <w:r>
        <w:rPr>
          <w:rFonts w:hint="eastAsia" w:ascii="Time New Roma" w:hAnsi="Time New Roma"/>
          <w:sz w:val="24"/>
        </w:rPr>
        <w:t>本单位谨承诺上述资料是正确、真实的，如因上述证明与事实不符导致的一切损失，本单位保证承担赔偿等一切法律责任。</w:t>
      </w:r>
    </w:p>
    <w:p>
      <w:pPr>
        <w:spacing w:line="440" w:lineRule="exact"/>
        <w:ind w:firstLine="480" w:firstLineChars="200"/>
        <w:jc w:val="left"/>
        <w:rPr>
          <w:rFonts w:ascii="Time New Roma" w:hAnsi="Time New Roma"/>
          <w:sz w:val="24"/>
        </w:rPr>
      </w:pPr>
      <w:r>
        <w:rPr>
          <w:rFonts w:hint="eastAsia" w:ascii="Time New Roma" w:hAnsi="Time New Roma"/>
          <w:sz w:val="24"/>
        </w:rPr>
        <w:t>投标保证金退回时，请按上述资料退回。</w:t>
      </w:r>
    </w:p>
    <w:p>
      <w:pPr>
        <w:spacing w:line="440" w:lineRule="exact"/>
        <w:jc w:val="left"/>
        <w:rPr>
          <w:rFonts w:ascii="Time New Roma" w:hAnsi="Time New Roma"/>
          <w:sz w:val="24"/>
        </w:rPr>
      </w:pPr>
      <w:r>
        <w:rPr>
          <w:rFonts w:hint="eastAsia" w:ascii="Time New Roma" w:hAnsi="Time New Roma"/>
          <w:sz w:val="24"/>
        </w:rPr>
        <w:t xml:space="preserve">    附件：投标保证金汇款底单（复印件加盖公章）</w:t>
      </w:r>
    </w:p>
    <w:p>
      <w:pPr>
        <w:spacing w:line="440" w:lineRule="exact"/>
        <w:jc w:val="left"/>
        <w:rPr>
          <w:rFonts w:ascii="Time New Roma" w:hAnsi="Time New Roma"/>
          <w:sz w:val="24"/>
        </w:rPr>
      </w:pPr>
    </w:p>
    <w:p>
      <w:pPr>
        <w:spacing w:line="440" w:lineRule="exact"/>
        <w:ind w:right="844" w:rightChars="402"/>
        <w:jc w:val="left"/>
        <w:rPr>
          <w:rFonts w:ascii="Time New Roma" w:hAnsi="Time New Roma"/>
          <w:sz w:val="24"/>
        </w:rPr>
      </w:pPr>
      <w:r>
        <w:rPr>
          <w:rFonts w:hint="eastAsia" w:ascii="Time New Roma" w:hAnsi="Time New Roma"/>
          <w:sz w:val="24"/>
        </w:rPr>
        <w:t xml:space="preserve">                                                   （单位公章）</w:t>
      </w:r>
    </w:p>
    <w:p>
      <w:pPr>
        <w:spacing w:line="440" w:lineRule="exact"/>
        <w:ind w:right="628" w:rightChars="299"/>
        <w:jc w:val="left"/>
        <w:rPr>
          <w:rFonts w:ascii="Time New Roma" w:hAnsi="Time New Roma"/>
          <w:sz w:val="24"/>
        </w:rPr>
      </w:pPr>
      <w:r>
        <w:rPr>
          <w:rFonts w:hint="eastAsia" w:ascii="Time New Roma" w:hAnsi="Time New Roma"/>
          <w:sz w:val="24"/>
        </w:rPr>
        <w:t xml:space="preserve">                                                    年   月   日</w:t>
      </w:r>
    </w:p>
    <w:p>
      <w:pPr>
        <w:spacing w:line="440" w:lineRule="exact"/>
        <w:jc w:val="left"/>
        <w:rPr>
          <w:rFonts w:ascii="Time New Roma" w:hAnsi="Time New Roma"/>
          <w:sz w:val="24"/>
          <w:u w:val="single"/>
        </w:rPr>
      </w:pPr>
      <w:r>
        <w:rPr>
          <w:rFonts w:hint="eastAsia" w:ascii="Time New Roma" w:hAnsi="Time New Roma"/>
          <w:sz w:val="24"/>
        </w:rPr>
        <w:t>单位名称：</w:t>
      </w:r>
      <w:r>
        <w:rPr>
          <w:rFonts w:hint="eastAsia" w:ascii="Time New Roma" w:hAnsi="Time New Roma"/>
          <w:sz w:val="24"/>
          <w:u w:val="single"/>
        </w:rPr>
        <w:t xml:space="preserve">               </w:t>
      </w:r>
    </w:p>
    <w:p>
      <w:pPr>
        <w:spacing w:line="440" w:lineRule="exact"/>
        <w:jc w:val="left"/>
        <w:rPr>
          <w:rFonts w:ascii="Time New Roma" w:hAnsi="Time New Roma"/>
          <w:sz w:val="24"/>
        </w:rPr>
      </w:pPr>
      <w:r>
        <w:rPr>
          <w:rFonts w:hint="eastAsia" w:ascii="Time New Roma" w:hAnsi="Time New Roma"/>
          <w:sz w:val="24"/>
        </w:rPr>
        <w:t>单位地址：</w:t>
      </w:r>
      <w:r>
        <w:rPr>
          <w:rFonts w:hint="eastAsia" w:ascii="Time New Roma" w:hAnsi="Time New Roma"/>
          <w:sz w:val="24"/>
          <w:u w:val="single"/>
        </w:rPr>
        <w:t xml:space="preserve">               </w:t>
      </w:r>
    </w:p>
    <w:p>
      <w:pPr>
        <w:spacing w:line="440" w:lineRule="exact"/>
        <w:jc w:val="left"/>
        <w:rPr>
          <w:rFonts w:ascii="Time New Roma" w:hAnsi="Time New Roma"/>
          <w:sz w:val="24"/>
        </w:rPr>
      </w:pPr>
      <w:r>
        <w:rPr>
          <w:rFonts w:hint="eastAsia" w:ascii="Time New Roma" w:hAnsi="Time New Roma"/>
          <w:sz w:val="24"/>
        </w:rPr>
        <w:t>联 系 人：</w:t>
      </w:r>
      <w:r>
        <w:rPr>
          <w:rFonts w:hint="eastAsia" w:ascii="Time New Roma" w:hAnsi="Time New Roma"/>
          <w:sz w:val="24"/>
          <w:u w:val="single"/>
        </w:rPr>
        <w:t xml:space="preserve">               </w:t>
      </w:r>
    </w:p>
    <w:p>
      <w:pPr>
        <w:spacing w:line="440" w:lineRule="exact"/>
        <w:jc w:val="left"/>
        <w:rPr>
          <w:rFonts w:ascii="Time New Roma" w:hAnsi="Time New Roma"/>
          <w:sz w:val="24"/>
        </w:rPr>
      </w:pPr>
      <w:r>
        <w:rPr>
          <w:rFonts w:hint="eastAsia" w:ascii="Time New Roma" w:hAnsi="Time New Roma"/>
          <w:sz w:val="24"/>
        </w:rPr>
        <w:t>单位电话：</w:t>
      </w:r>
      <w:r>
        <w:rPr>
          <w:rFonts w:hint="eastAsia" w:ascii="Time New Roma" w:hAnsi="Time New Roma"/>
          <w:sz w:val="24"/>
          <w:u w:val="single"/>
        </w:rPr>
        <w:t xml:space="preserve">               </w:t>
      </w:r>
      <w:r>
        <w:rPr>
          <w:rFonts w:hint="eastAsia" w:ascii="Time New Roma" w:hAnsi="Time New Roma"/>
          <w:sz w:val="24"/>
        </w:rPr>
        <w:t xml:space="preserve">      联系人手机：</w:t>
      </w:r>
      <w:r>
        <w:rPr>
          <w:rFonts w:hint="eastAsia" w:ascii="Time New Roma" w:hAnsi="Time New Roma"/>
          <w:sz w:val="24"/>
          <w:u w:val="single"/>
        </w:rPr>
        <w:t xml:space="preserve">              </w:t>
      </w:r>
    </w:p>
    <w:p>
      <w:pPr>
        <w:spacing w:line="440" w:lineRule="exact"/>
        <w:jc w:val="left"/>
        <w:rPr>
          <w:rFonts w:ascii="Time New Roma" w:hAnsi="Time New Roma"/>
          <w:sz w:val="24"/>
        </w:rPr>
      </w:pPr>
    </w:p>
    <w:p>
      <w:pPr>
        <w:spacing w:before="240" w:beforeLines="100" w:after="240" w:afterLines="100"/>
        <w:jc w:val="center"/>
        <w:outlineLvl w:val="1"/>
        <w:rPr>
          <w:rFonts w:ascii="Time New Roma" w:hAnsi="Time New Roma"/>
          <w:sz w:val="32"/>
        </w:rPr>
      </w:pPr>
      <w:r>
        <w:rPr>
          <w:rFonts w:ascii="Time New Roma" w:hAnsi="Time New Roma"/>
          <w:sz w:val="24"/>
        </w:rPr>
        <w:br w:type="page"/>
      </w:r>
      <w:bookmarkStart w:id="258" w:name="_Toc22802596"/>
      <w:bookmarkStart w:id="259" w:name="_Toc170229682"/>
      <w:bookmarkStart w:id="260" w:name="_Toc492591304"/>
      <w:bookmarkStart w:id="261" w:name="_Toc92706607"/>
      <w:r>
        <w:rPr>
          <w:rFonts w:hint="eastAsia" w:ascii="Time New Roma" w:hAnsi="Time New Roma"/>
          <w:b/>
          <w:bCs/>
          <w:sz w:val="44"/>
          <w:szCs w:val="44"/>
        </w:rPr>
        <w:t>唱标信封</w:t>
      </w:r>
      <w:bookmarkEnd w:id="258"/>
      <w:bookmarkEnd w:id="259"/>
      <w:bookmarkEnd w:id="260"/>
      <w:bookmarkEnd w:id="261"/>
    </w:p>
    <w:p>
      <w:pPr>
        <w:pStyle w:val="114"/>
        <w:spacing w:line="360" w:lineRule="exact"/>
        <w:ind w:left="899" w:leftChars="428" w:firstLine="7" w:firstLineChars="3"/>
        <w:rPr>
          <w:rFonts w:ascii="Time New Roma" w:hAnsi="Time New Roma" w:eastAsia="宋体"/>
          <w:sz w:val="24"/>
        </w:rPr>
      </w:pPr>
      <w:r>
        <w:rPr>
          <w:rFonts w:hint="eastAsia" w:ascii="Time New Roma" w:hAnsi="Time New Roma" w:eastAsia="宋体"/>
          <w:sz w:val="24"/>
        </w:rPr>
        <w:t>唱标信封内装：</w:t>
      </w:r>
    </w:p>
    <w:p>
      <w:pPr>
        <w:pStyle w:val="114"/>
        <w:spacing w:line="440" w:lineRule="exact"/>
        <w:ind w:left="899" w:leftChars="428" w:firstLine="7" w:firstLineChars="3"/>
        <w:rPr>
          <w:rFonts w:ascii="Time New Roma" w:hAnsi="Time New Roma" w:eastAsia="宋体"/>
          <w:sz w:val="24"/>
        </w:rPr>
      </w:pPr>
      <w:r>
        <w:rPr>
          <w:rFonts w:hint="eastAsia" w:ascii="Time New Roma" w:hAnsi="Time New Roma" w:eastAsia="宋体"/>
          <w:sz w:val="24"/>
        </w:rPr>
        <w:t>（1）开标一览表；</w:t>
      </w:r>
    </w:p>
    <w:p>
      <w:pPr>
        <w:pStyle w:val="114"/>
        <w:spacing w:line="440" w:lineRule="exact"/>
        <w:ind w:left="899" w:leftChars="428" w:firstLine="7" w:firstLineChars="3"/>
        <w:rPr>
          <w:rFonts w:ascii="Time New Roma" w:hAnsi="Time New Roma" w:eastAsia="宋体"/>
          <w:sz w:val="24"/>
        </w:rPr>
      </w:pPr>
      <w:r>
        <w:rPr>
          <w:rFonts w:hint="eastAsia" w:ascii="Time New Roma" w:hAnsi="Time New Roma" w:eastAsia="宋体"/>
          <w:sz w:val="24"/>
        </w:rPr>
        <w:t>（2）法定代表人授权委托书；</w:t>
      </w:r>
    </w:p>
    <w:p>
      <w:pPr>
        <w:pStyle w:val="114"/>
        <w:spacing w:line="440" w:lineRule="exact"/>
        <w:ind w:left="899" w:leftChars="428" w:firstLine="7" w:firstLineChars="3"/>
        <w:rPr>
          <w:rFonts w:ascii="Time New Roma" w:hAnsi="Time New Roma" w:eastAsia="宋体"/>
          <w:sz w:val="24"/>
        </w:rPr>
      </w:pPr>
      <w:r>
        <w:rPr>
          <w:rFonts w:hint="eastAsia" w:ascii="Time New Roma" w:hAnsi="Time New Roma" w:eastAsia="宋体"/>
          <w:sz w:val="24"/>
        </w:rPr>
        <w:t>（3）被授权代表身份证（复印件加盖公章）；</w:t>
      </w:r>
    </w:p>
    <w:p>
      <w:pPr>
        <w:pStyle w:val="114"/>
        <w:spacing w:line="440" w:lineRule="exact"/>
        <w:ind w:left="899" w:leftChars="428" w:firstLine="7" w:firstLineChars="3"/>
        <w:rPr>
          <w:rFonts w:ascii="Time New Roma" w:hAnsi="Time New Roma" w:eastAsia="宋体"/>
          <w:sz w:val="24"/>
        </w:rPr>
      </w:pPr>
      <w:r>
        <w:rPr>
          <w:rFonts w:hint="eastAsia" w:ascii="Time New Roma" w:hAnsi="Time New Roma" w:eastAsia="宋体"/>
          <w:sz w:val="24"/>
        </w:rPr>
        <w:t>（4）投标保证金汇入情况说明；</w:t>
      </w:r>
    </w:p>
    <w:p>
      <w:pPr>
        <w:pStyle w:val="114"/>
        <w:spacing w:line="440" w:lineRule="exact"/>
        <w:ind w:left="899" w:leftChars="428" w:firstLine="7" w:firstLineChars="3"/>
        <w:rPr>
          <w:rFonts w:ascii="Time New Roma" w:hAnsi="Time New Roma" w:eastAsia="宋体"/>
          <w:sz w:val="24"/>
        </w:rPr>
      </w:pPr>
      <w:r>
        <w:rPr>
          <w:rFonts w:hint="eastAsia" w:ascii="Time New Roma" w:hAnsi="Time New Roma" w:eastAsia="宋体"/>
          <w:sz w:val="24"/>
        </w:rPr>
        <w:t>（5）投标保证金汇款底单（复印件加盖公章）。</w:t>
      </w:r>
    </w:p>
    <w:p>
      <w:pPr>
        <w:pStyle w:val="114"/>
        <w:spacing w:line="440" w:lineRule="exact"/>
        <w:ind w:firstLine="0" w:firstLineChars="0"/>
        <w:rPr>
          <w:rFonts w:ascii="Time New Roma" w:hAnsi="Time New Roma" w:eastAsia="宋体"/>
          <w:b/>
          <w:sz w:val="24"/>
        </w:rPr>
      </w:pPr>
      <w:r>
        <w:rPr>
          <w:rFonts w:ascii="Time New Roma" w:hAnsi="Time New Roma" w:eastAsia="宋体"/>
          <w:sz w:val="24"/>
        </w:rPr>
        <w:br w:type="page"/>
      </w:r>
      <w:r>
        <w:rPr>
          <w:rFonts w:ascii="Time New Roma" w:hAnsi="Time New Roma" w:eastAsia="宋体"/>
          <w:b/>
          <w:sz w:val="24"/>
        </w:rPr>
        <w:t>附件</w:t>
      </w:r>
      <w:r>
        <w:rPr>
          <w:rFonts w:hint="eastAsia" w:ascii="Time New Roma" w:hAnsi="Time New Roma" w:eastAsia="宋体"/>
          <w:b/>
          <w:sz w:val="24"/>
        </w:rPr>
        <w:t>：政府采购投标担保函及政府采购履约担保</w:t>
      </w:r>
      <w:r>
        <w:rPr>
          <w:rFonts w:ascii="Time New Roma" w:hAnsi="Time New Roma" w:eastAsia="宋体"/>
          <w:b/>
          <w:sz w:val="24"/>
        </w:rPr>
        <w:t>格式</w:t>
      </w:r>
      <w:r>
        <w:rPr>
          <w:rFonts w:hint="eastAsia" w:ascii="Time New Roma" w:hAnsi="Time New Roma" w:eastAsia="宋体"/>
          <w:b/>
          <w:sz w:val="24"/>
        </w:rPr>
        <w:t>（如采用保函方式提交投标保证金的需按招标文件递交，否则无需提供）</w:t>
      </w:r>
    </w:p>
    <w:p>
      <w:pPr>
        <w:spacing w:before="240" w:beforeLines="100" w:after="240" w:afterLines="100" w:line="360" w:lineRule="auto"/>
        <w:jc w:val="center"/>
        <w:rPr>
          <w:rFonts w:ascii="宋体" w:hAnsi="宋体"/>
          <w:b/>
          <w:spacing w:val="20"/>
          <w:sz w:val="30"/>
          <w:szCs w:val="30"/>
        </w:rPr>
      </w:pPr>
      <w:r>
        <w:rPr>
          <w:rFonts w:hint="eastAsia" w:ascii="宋体" w:hAnsi="宋体"/>
          <w:b/>
          <w:spacing w:val="20"/>
          <w:sz w:val="30"/>
          <w:szCs w:val="30"/>
        </w:rPr>
        <w:t>政府采购投标担保函</w:t>
      </w:r>
    </w:p>
    <w:p>
      <w:pPr>
        <w:spacing w:line="360" w:lineRule="auto"/>
        <w:ind w:firstLine="6261" w:firstLineChars="2970"/>
        <w:rPr>
          <w:rFonts w:ascii="宋体" w:hAnsi="宋体"/>
          <w:b/>
          <w:szCs w:val="21"/>
        </w:rPr>
      </w:pPr>
      <w:r>
        <w:rPr>
          <w:rFonts w:hint="eastAsia" w:ascii="宋体" w:hAnsi="宋体"/>
          <w:b/>
          <w:szCs w:val="21"/>
        </w:rPr>
        <w:t>编号：</w:t>
      </w:r>
    </w:p>
    <w:p>
      <w:pPr>
        <w:spacing w:line="360" w:lineRule="auto"/>
        <w:rPr>
          <w:rFonts w:ascii="宋体" w:hAnsi="宋体"/>
          <w:szCs w:val="21"/>
          <w:u w:val="single"/>
        </w:rPr>
      </w:pPr>
      <w:r>
        <w:rPr>
          <w:rFonts w:hint="eastAsia" w:ascii="宋体" w:hAnsi="宋体"/>
          <w:szCs w:val="21"/>
          <w:u w:val="single"/>
        </w:rPr>
        <w:t xml:space="preserve">                     （</w:t>
      </w:r>
      <w:r>
        <w:rPr>
          <w:rFonts w:hint="eastAsia" w:ascii="宋体" w:hAnsi="宋体"/>
          <w:szCs w:val="21"/>
        </w:rPr>
        <w:t>采购人或采购代理机构）：</w:t>
      </w:r>
    </w:p>
    <w:p>
      <w:pPr>
        <w:wordWrap w:val="0"/>
        <w:spacing w:line="360" w:lineRule="auto"/>
        <w:ind w:firstLine="420" w:firstLineChars="200"/>
        <w:rPr>
          <w:rFonts w:ascii="宋体" w:hAnsi="宋体"/>
          <w:szCs w:val="21"/>
          <w:u w:val="single"/>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以下简称“投标人”）拟参加编号为</w:t>
      </w:r>
      <w:r>
        <w:rPr>
          <w:rFonts w:hint="eastAsia" w:ascii="宋体" w:hAnsi="宋体"/>
          <w:szCs w:val="21"/>
          <w:u w:val="single"/>
        </w:rPr>
        <w:t xml:space="preserve">                   </w:t>
      </w:r>
      <w:r>
        <w:rPr>
          <w:rFonts w:hint="eastAsia" w:ascii="宋体" w:hAnsi="宋体"/>
          <w:szCs w:val="21"/>
        </w:rPr>
        <w:t>的</w:t>
      </w:r>
      <w:r>
        <w:rPr>
          <w:rFonts w:hint="eastAsia" w:ascii="宋体" w:hAnsi="宋体"/>
          <w:szCs w:val="21"/>
          <w:u w:val="single"/>
        </w:rPr>
        <w:t xml:space="preserve">                         </w:t>
      </w:r>
      <w:r>
        <w:rPr>
          <w:rFonts w:hint="eastAsia" w:ascii="宋体" w:hAnsi="宋体"/>
          <w:szCs w:val="21"/>
        </w:rPr>
        <w:t xml:space="preserve"> 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rPr>
          <w:rFonts w:ascii="宋体" w:hAnsi="宋体"/>
          <w:szCs w:val="21"/>
        </w:rPr>
      </w:pPr>
      <w:r>
        <w:rPr>
          <w:rFonts w:hint="eastAsia" w:ascii="宋体" w:hAnsi="宋体"/>
          <w:szCs w:val="21"/>
        </w:rPr>
        <w:t>一、保证责任的情形及保证金额</w:t>
      </w:r>
    </w:p>
    <w:p>
      <w:pPr>
        <w:tabs>
          <w:tab w:val="left" w:pos="284"/>
        </w:tabs>
        <w:spacing w:line="360" w:lineRule="auto"/>
        <w:ind w:left="283" w:leftChars="135"/>
        <w:rPr>
          <w:rFonts w:ascii="宋体" w:hAnsi="宋体"/>
          <w:szCs w:val="21"/>
        </w:rPr>
      </w:pPr>
      <w:r>
        <w:rPr>
          <w:rFonts w:hint="eastAsia" w:ascii="宋体" w:hAnsi="宋体"/>
          <w:szCs w:val="21"/>
        </w:rPr>
        <w:t>（一）在投标人出现下列情形之一时，我方承担保证责任：</w:t>
      </w:r>
    </w:p>
    <w:p>
      <w:pPr>
        <w:tabs>
          <w:tab w:val="left" w:pos="284"/>
        </w:tabs>
        <w:spacing w:line="360" w:lineRule="auto"/>
        <w:ind w:left="283" w:leftChars="135"/>
        <w:rPr>
          <w:rFonts w:ascii="宋体" w:hAnsi="宋体"/>
          <w:szCs w:val="21"/>
        </w:rPr>
      </w:pPr>
      <w:r>
        <w:rPr>
          <w:rFonts w:hint="eastAsia" w:ascii="宋体" w:hAnsi="宋体"/>
          <w:szCs w:val="21"/>
        </w:rPr>
        <w:t>1.中标后投标人无正当理由不与采购人或者采购代理机构签订《政府采购合同》；</w:t>
      </w:r>
    </w:p>
    <w:p>
      <w:pPr>
        <w:tabs>
          <w:tab w:val="left" w:pos="284"/>
        </w:tabs>
        <w:spacing w:line="360" w:lineRule="auto"/>
        <w:ind w:left="283" w:leftChars="135"/>
        <w:rPr>
          <w:rFonts w:ascii="宋体" w:hAnsi="宋体"/>
          <w:szCs w:val="21"/>
        </w:rPr>
      </w:pPr>
      <w:r>
        <w:rPr>
          <w:rFonts w:hint="eastAsia" w:ascii="宋体" w:hAnsi="宋体"/>
          <w:szCs w:val="21"/>
        </w:rPr>
        <w:t>2.招标文件规定的投标人应当缴纳保证金的其他情形。</w:t>
      </w:r>
    </w:p>
    <w:p>
      <w:pPr>
        <w:tabs>
          <w:tab w:val="left" w:pos="284"/>
        </w:tabs>
        <w:spacing w:line="360" w:lineRule="auto"/>
        <w:ind w:left="283" w:leftChars="135"/>
        <w:rPr>
          <w:rFonts w:ascii="宋体" w:hAnsi="宋体"/>
          <w:szCs w:val="21"/>
        </w:rPr>
      </w:pPr>
      <w:r>
        <w:rPr>
          <w:rFonts w:hint="eastAsia" w:ascii="宋体" w:hAnsi="宋体"/>
          <w:szCs w:val="21"/>
        </w:rPr>
        <w:t>（二）我方承担保证责任的最高金额为人民币</w:t>
      </w:r>
      <w:r>
        <w:rPr>
          <w:rFonts w:hint="eastAsia" w:ascii="宋体" w:hAnsi="宋体"/>
          <w:szCs w:val="21"/>
          <w:u w:val="single"/>
        </w:rPr>
        <w:t xml:space="preserve">         </w:t>
      </w:r>
      <w:r>
        <w:rPr>
          <w:rFonts w:hint="eastAsia" w:ascii="宋体" w:hAnsi="宋体"/>
          <w:szCs w:val="21"/>
        </w:rPr>
        <w:t>元（大写：</w:t>
      </w:r>
      <w:r>
        <w:rPr>
          <w:rFonts w:hint="eastAsia" w:ascii="宋体" w:hAnsi="宋体"/>
          <w:szCs w:val="21"/>
          <w:u w:val="single"/>
        </w:rPr>
        <w:t xml:space="preserve">        </w:t>
      </w:r>
      <w:r>
        <w:rPr>
          <w:rFonts w:hint="eastAsia" w:ascii="宋体" w:hAnsi="宋体"/>
          <w:szCs w:val="21"/>
        </w:rPr>
        <w:t xml:space="preserve"> )；即本项目的投标保证金金额。</w:t>
      </w:r>
    </w:p>
    <w:p>
      <w:pPr>
        <w:spacing w:line="360" w:lineRule="auto"/>
        <w:rPr>
          <w:rFonts w:ascii="宋体" w:hAnsi="宋体"/>
          <w:szCs w:val="21"/>
        </w:rPr>
      </w:pPr>
      <w:r>
        <w:rPr>
          <w:rFonts w:hint="eastAsia" w:ascii="宋体" w:hAnsi="宋体"/>
          <w:szCs w:val="21"/>
        </w:rPr>
        <w:t>二、保证的方式及保证期间</w:t>
      </w:r>
    </w:p>
    <w:p>
      <w:pPr>
        <w:tabs>
          <w:tab w:val="left" w:pos="142"/>
          <w:tab w:val="left" w:pos="284"/>
        </w:tabs>
        <w:spacing w:line="360" w:lineRule="auto"/>
        <w:ind w:left="283" w:leftChars="135"/>
        <w:rPr>
          <w:rFonts w:ascii="宋体" w:hAnsi="宋体"/>
          <w:szCs w:val="21"/>
        </w:rPr>
      </w:pPr>
      <w:r>
        <w:rPr>
          <w:rFonts w:hint="eastAsia" w:ascii="宋体" w:hAnsi="宋体"/>
          <w:szCs w:val="21"/>
        </w:rPr>
        <w:t>我方保证的方式为：连带责任保证。</w:t>
      </w:r>
    </w:p>
    <w:p>
      <w:pPr>
        <w:spacing w:line="360" w:lineRule="auto"/>
        <w:ind w:left="283" w:leftChars="135"/>
        <w:rPr>
          <w:rFonts w:ascii="宋体" w:hAnsi="宋体"/>
          <w:szCs w:val="21"/>
        </w:rPr>
      </w:pPr>
      <w:r>
        <w:rPr>
          <w:rFonts w:hint="eastAsia" w:ascii="宋体" w:hAnsi="宋体"/>
          <w:szCs w:val="21"/>
        </w:rPr>
        <w:t>我方的保证期间为：自本保函生效之日起</w:t>
      </w:r>
      <w:r>
        <w:rPr>
          <w:rFonts w:hint="eastAsia" w:ascii="宋体" w:hAnsi="宋体"/>
          <w:szCs w:val="21"/>
          <w:u w:val="single"/>
        </w:rPr>
        <w:t xml:space="preserve">      </w:t>
      </w:r>
      <w:r>
        <w:rPr>
          <w:rFonts w:hint="eastAsia" w:ascii="宋体" w:hAnsi="宋体"/>
          <w:szCs w:val="21"/>
        </w:rPr>
        <w:t>个月止。</w:t>
      </w:r>
    </w:p>
    <w:p>
      <w:pPr>
        <w:spacing w:line="360" w:lineRule="auto"/>
        <w:rPr>
          <w:rFonts w:ascii="宋体" w:hAnsi="宋体"/>
          <w:szCs w:val="21"/>
        </w:rPr>
      </w:pPr>
      <w:r>
        <w:rPr>
          <w:rFonts w:hint="eastAsia" w:ascii="宋体" w:hAnsi="宋体"/>
          <w:szCs w:val="21"/>
        </w:rPr>
        <w:t>三、承担保证责任的程序</w:t>
      </w:r>
    </w:p>
    <w:p>
      <w:pPr>
        <w:spacing w:line="360" w:lineRule="auto"/>
        <w:ind w:left="281" w:leftChars="134"/>
        <w:rPr>
          <w:rFonts w:ascii="宋体" w:hAnsi="宋体"/>
          <w:szCs w:val="21"/>
        </w:rPr>
      </w:pPr>
      <w:r>
        <w:rPr>
          <w:rFonts w:hint="eastAsia" w:ascii="宋体" w:hAnsi="宋体"/>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left="281" w:leftChars="134"/>
        <w:rPr>
          <w:rFonts w:ascii="宋体" w:hAnsi="宋体"/>
          <w:szCs w:val="21"/>
        </w:rPr>
      </w:pPr>
      <w:r>
        <w:rPr>
          <w:rFonts w:hint="eastAsia" w:ascii="宋体" w:hAnsi="宋体"/>
          <w:szCs w:val="21"/>
        </w:rPr>
        <w:t>2.我方在收到索赔通知及相关证明材料后，在</w:t>
      </w:r>
      <w:r>
        <w:rPr>
          <w:rFonts w:hint="eastAsia" w:ascii="宋体" w:hAnsi="宋体"/>
          <w:szCs w:val="21"/>
          <w:u w:val="single"/>
        </w:rPr>
        <w:t xml:space="preserve">      </w:t>
      </w:r>
      <w:r>
        <w:rPr>
          <w:rFonts w:hint="eastAsia" w:ascii="宋体" w:hAnsi="宋体"/>
          <w:szCs w:val="21"/>
        </w:rPr>
        <w:t>个工作日内进行审查，符合应承担保证责任情形的，我方应按照你方的要求代投标人向你方支付投标保证金。</w:t>
      </w:r>
    </w:p>
    <w:p>
      <w:pPr>
        <w:spacing w:line="360" w:lineRule="auto"/>
        <w:rPr>
          <w:rFonts w:ascii="宋体" w:hAnsi="宋体"/>
          <w:szCs w:val="21"/>
        </w:rPr>
      </w:pPr>
      <w:r>
        <w:rPr>
          <w:rFonts w:hint="eastAsia" w:ascii="宋体" w:hAnsi="宋体"/>
          <w:szCs w:val="21"/>
        </w:rPr>
        <w:t>四、保证责任的终止</w:t>
      </w:r>
    </w:p>
    <w:p>
      <w:pPr>
        <w:spacing w:line="360" w:lineRule="auto"/>
        <w:ind w:left="283" w:leftChars="135"/>
        <w:rPr>
          <w:rFonts w:ascii="宋体" w:hAnsi="宋体"/>
          <w:szCs w:val="21"/>
        </w:rPr>
      </w:pPr>
      <w:r>
        <w:rPr>
          <w:rFonts w:hint="eastAsia" w:ascii="宋体" w:hAnsi="宋体"/>
          <w:szCs w:val="21"/>
        </w:rPr>
        <w:t>1.保证期间届满你方未向我方书面主张保证责任的，自保证期间届满次日起，我方保证责任自动终止。</w:t>
      </w:r>
    </w:p>
    <w:p>
      <w:pPr>
        <w:spacing w:line="360" w:lineRule="auto"/>
        <w:ind w:left="283" w:leftChars="135"/>
        <w:rPr>
          <w:rFonts w:ascii="宋体" w:hAnsi="宋体"/>
          <w:szCs w:val="21"/>
        </w:rPr>
      </w:pPr>
      <w:r>
        <w:rPr>
          <w:rFonts w:hint="eastAsia" w:ascii="宋体" w:hAnsi="宋体"/>
          <w:szCs w:val="21"/>
        </w:rPr>
        <w:t>2.我方按照本保函向你贵方履行了保证责任后，自我方向你贵方支付款项（支付款项从我方账户划出）之日起，保证责任终止。</w:t>
      </w:r>
    </w:p>
    <w:p>
      <w:pPr>
        <w:spacing w:line="360" w:lineRule="auto"/>
        <w:ind w:left="283" w:leftChars="135"/>
        <w:rPr>
          <w:rFonts w:ascii="宋体" w:hAnsi="宋体"/>
          <w:szCs w:val="21"/>
        </w:rPr>
      </w:pPr>
      <w:r>
        <w:rPr>
          <w:rFonts w:hint="eastAsia" w:ascii="宋体" w:hAnsi="宋体"/>
          <w:szCs w:val="21"/>
        </w:rPr>
        <w:t>3.按照法律法规的规定或出现我方保证责任终止的其他情形的，我方在本保函项下的保证责任亦终止。</w:t>
      </w:r>
    </w:p>
    <w:p>
      <w:pPr>
        <w:spacing w:line="360" w:lineRule="auto"/>
        <w:rPr>
          <w:rFonts w:ascii="宋体" w:hAnsi="宋体"/>
          <w:szCs w:val="21"/>
        </w:rPr>
      </w:pPr>
      <w:r>
        <w:rPr>
          <w:rFonts w:hint="eastAsia" w:ascii="宋体" w:hAnsi="宋体"/>
          <w:szCs w:val="21"/>
        </w:rPr>
        <w:t>五、免责条款</w:t>
      </w:r>
    </w:p>
    <w:p>
      <w:pPr>
        <w:spacing w:line="360" w:lineRule="auto"/>
        <w:ind w:left="283" w:leftChars="135"/>
        <w:rPr>
          <w:rFonts w:ascii="宋体" w:hAnsi="宋体"/>
          <w:szCs w:val="21"/>
        </w:rPr>
      </w:pPr>
      <w:r>
        <w:rPr>
          <w:rFonts w:hint="eastAsia" w:ascii="宋体" w:hAnsi="宋体"/>
          <w:szCs w:val="21"/>
        </w:rPr>
        <w:t>1.依照法律规定或你方与投标人的另行约定，全部或者部分免除投标人投标保证金义务时，我方亦免除相应的保证责任。</w:t>
      </w:r>
    </w:p>
    <w:p>
      <w:pPr>
        <w:spacing w:line="360" w:lineRule="auto"/>
        <w:ind w:left="283" w:leftChars="135"/>
        <w:rPr>
          <w:rFonts w:ascii="宋体" w:hAnsi="宋体"/>
          <w:szCs w:val="21"/>
        </w:rPr>
      </w:pPr>
      <w:r>
        <w:rPr>
          <w:rFonts w:hint="eastAsia" w:ascii="宋体" w:hAnsi="宋体"/>
          <w:szCs w:val="21"/>
        </w:rPr>
        <w:t>2.因你方原因致使投标人发生本保函第一条第（一）款约定情形的，我方不承担保证责任。</w:t>
      </w:r>
    </w:p>
    <w:p>
      <w:pPr>
        <w:spacing w:line="360" w:lineRule="auto"/>
        <w:ind w:left="283" w:leftChars="135"/>
        <w:rPr>
          <w:rFonts w:ascii="宋体" w:hAnsi="宋体"/>
          <w:szCs w:val="21"/>
        </w:rPr>
      </w:pPr>
      <w:r>
        <w:rPr>
          <w:rFonts w:hint="eastAsia" w:ascii="宋体" w:hAnsi="宋体"/>
          <w:szCs w:val="21"/>
        </w:rPr>
        <w:t>3.因不可抗力造成投标人发生本保函第一条约定情形的，我方不承担保证责任。</w:t>
      </w:r>
    </w:p>
    <w:p>
      <w:pPr>
        <w:spacing w:line="360" w:lineRule="auto"/>
        <w:ind w:left="283" w:leftChars="135"/>
        <w:rPr>
          <w:rFonts w:ascii="宋体" w:hAnsi="宋体"/>
          <w:szCs w:val="21"/>
        </w:rPr>
      </w:pPr>
      <w:r>
        <w:rPr>
          <w:rFonts w:hint="eastAsia" w:ascii="宋体" w:hAnsi="宋体"/>
          <w:szCs w:val="21"/>
        </w:rPr>
        <w:t>4.你方或其他有权机关对招标文件进行任何澄清或修改，加重我方保证责任的，我方对加重部分不承担保证责任，但该澄清或修改经我方事先书面同意的除外。</w:t>
      </w:r>
    </w:p>
    <w:p>
      <w:pPr>
        <w:spacing w:line="360" w:lineRule="auto"/>
        <w:rPr>
          <w:rFonts w:ascii="宋体" w:hAnsi="宋体"/>
          <w:szCs w:val="21"/>
        </w:rPr>
      </w:pPr>
      <w:r>
        <w:rPr>
          <w:rFonts w:hint="eastAsia" w:ascii="宋体" w:hAnsi="宋体"/>
          <w:szCs w:val="21"/>
        </w:rPr>
        <w:t>六、争议的解决</w:t>
      </w:r>
    </w:p>
    <w:p>
      <w:pPr>
        <w:spacing w:line="360" w:lineRule="auto"/>
        <w:ind w:firstLine="420" w:firstLineChars="200"/>
        <w:rPr>
          <w:rFonts w:ascii="宋体" w:hAnsi="宋体"/>
          <w:szCs w:val="21"/>
        </w:rPr>
      </w:pPr>
      <w:r>
        <w:rPr>
          <w:rFonts w:hint="eastAsia" w:ascii="宋体" w:hAnsi="宋体"/>
          <w:szCs w:val="21"/>
        </w:rPr>
        <w:t>因本保函发生的纠纷，由你我双方协商解决，协商不成的，通过诉讼程序解决，诉讼管辖地法院为</w:t>
      </w:r>
      <w:r>
        <w:rPr>
          <w:rFonts w:hint="eastAsia" w:ascii="宋体" w:hAnsi="宋体"/>
          <w:szCs w:val="21"/>
          <w:u w:val="single"/>
        </w:rPr>
        <w:t xml:space="preserve">           </w:t>
      </w:r>
      <w:r>
        <w:rPr>
          <w:rFonts w:hint="eastAsia" w:ascii="宋体" w:hAnsi="宋体"/>
          <w:szCs w:val="21"/>
        </w:rPr>
        <w:t>法院。</w:t>
      </w:r>
    </w:p>
    <w:p>
      <w:pPr>
        <w:spacing w:line="360" w:lineRule="auto"/>
        <w:rPr>
          <w:rFonts w:ascii="宋体" w:hAnsi="宋体"/>
          <w:szCs w:val="21"/>
        </w:rPr>
      </w:pPr>
      <w:r>
        <w:rPr>
          <w:rFonts w:hint="eastAsia" w:ascii="宋体" w:hAnsi="宋体"/>
          <w:szCs w:val="21"/>
        </w:rPr>
        <w:t>七、保函的生效</w:t>
      </w:r>
    </w:p>
    <w:p>
      <w:pPr>
        <w:spacing w:line="360" w:lineRule="auto"/>
        <w:ind w:firstLine="420" w:firstLineChars="200"/>
        <w:rPr>
          <w:rFonts w:ascii="宋体" w:hAnsi="宋体"/>
          <w:szCs w:val="21"/>
        </w:rPr>
      </w:pPr>
      <w:r>
        <w:rPr>
          <w:rFonts w:hint="eastAsia" w:ascii="宋体" w:hAnsi="宋体"/>
          <w:szCs w:val="21"/>
        </w:rPr>
        <w:t>本保函自我方加盖公章之日起生效。</w:t>
      </w:r>
    </w:p>
    <w:p>
      <w:pPr>
        <w:spacing w:before="720" w:beforeLines="300" w:line="360" w:lineRule="auto"/>
        <w:jc w:val="right"/>
        <w:rPr>
          <w:rFonts w:ascii="宋体" w:hAnsi="宋体"/>
          <w:szCs w:val="21"/>
        </w:rPr>
      </w:pPr>
      <w:r>
        <w:rPr>
          <w:rFonts w:hint="eastAsia" w:ascii="宋体" w:hAnsi="宋体"/>
          <w:szCs w:val="21"/>
        </w:rPr>
        <w:t>保证人：（公章）</w:t>
      </w:r>
    </w:p>
    <w:p>
      <w:pPr>
        <w:spacing w:line="360" w:lineRule="auto"/>
        <w:jc w:val="right"/>
        <w:rPr>
          <w:rFonts w:ascii="宋体" w:hAnsi="宋体"/>
          <w:szCs w:val="21"/>
        </w:rPr>
      </w:pPr>
      <w:r>
        <w:rPr>
          <w:rFonts w:hint="eastAsia" w:ascii="宋体" w:hAnsi="宋体"/>
          <w:szCs w:val="21"/>
        </w:rPr>
        <w:t>年   月   日</w:t>
      </w:r>
    </w:p>
    <w:p>
      <w:pPr>
        <w:rPr>
          <w:rFonts w:ascii="宋体" w:hAnsi="宋体"/>
        </w:rPr>
      </w:pPr>
    </w:p>
    <w:p>
      <w:pPr>
        <w:pageBreakBefore/>
        <w:spacing w:before="240" w:beforeLines="100" w:after="240" w:afterLines="100" w:line="360" w:lineRule="auto"/>
        <w:jc w:val="center"/>
        <w:rPr>
          <w:rFonts w:ascii="宋体" w:hAnsi="宋体"/>
          <w:b/>
          <w:spacing w:val="20"/>
          <w:sz w:val="30"/>
          <w:szCs w:val="30"/>
        </w:rPr>
      </w:pPr>
      <w:r>
        <w:rPr>
          <w:rFonts w:hint="eastAsia" w:ascii="宋体" w:hAnsi="宋体"/>
          <w:b/>
          <w:spacing w:val="20"/>
          <w:sz w:val="30"/>
          <w:szCs w:val="30"/>
        </w:rPr>
        <w:t>政府采购履约担保</w:t>
      </w:r>
    </w:p>
    <w:p>
      <w:pPr>
        <w:spacing w:line="360" w:lineRule="auto"/>
        <w:ind w:firstLine="6261" w:firstLineChars="2970"/>
        <w:rPr>
          <w:rFonts w:ascii="宋体" w:hAnsi="宋体"/>
          <w:b/>
          <w:szCs w:val="21"/>
        </w:rPr>
      </w:pPr>
      <w:r>
        <w:rPr>
          <w:rFonts w:hint="eastAsia" w:ascii="宋体" w:hAnsi="宋体"/>
          <w:b/>
          <w:szCs w:val="21"/>
        </w:rPr>
        <w:t>编号：</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采购人）：</w:t>
      </w:r>
    </w:p>
    <w:p>
      <w:pPr>
        <w:wordWrap w:val="0"/>
        <w:spacing w:line="360" w:lineRule="auto"/>
        <w:ind w:firstLine="420" w:firstLineChars="200"/>
        <w:rPr>
          <w:rFonts w:ascii="宋体" w:hAnsi="宋体"/>
          <w:szCs w:val="21"/>
        </w:rPr>
      </w:pPr>
      <w:r>
        <w:rPr>
          <w:rFonts w:hint="eastAsia" w:ascii="宋体" w:hAnsi="宋体"/>
          <w:szCs w:val="21"/>
        </w:rPr>
        <w:t>鉴于你方与</w:t>
      </w:r>
      <w:r>
        <w:rPr>
          <w:rFonts w:hint="eastAsia" w:ascii="宋体" w:hAnsi="宋体"/>
          <w:szCs w:val="21"/>
          <w:u w:val="single"/>
        </w:rPr>
        <w:t xml:space="preserve">                      </w:t>
      </w:r>
      <w:r>
        <w:rPr>
          <w:rFonts w:hint="eastAsia" w:ascii="宋体" w:hAnsi="宋体"/>
          <w:szCs w:val="21"/>
        </w:rPr>
        <w:t>（以下简称供应商）于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 自签订编号为</w:t>
      </w:r>
      <w:r>
        <w:rPr>
          <w:rFonts w:hint="eastAsia" w:ascii="宋体" w:hAnsi="宋体"/>
          <w:szCs w:val="21"/>
          <w:u w:val="single"/>
        </w:rPr>
        <w:t xml:space="preserve">             </w:t>
      </w:r>
      <w:r>
        <w:rPr>
          <w:rFonts w:hint="eastAsia" w:ascii="宋体" w:hAnsi="宋体"/>
          <w:szCs w:val="21"/>
        </w:rPr>
        <w:t>的《</w:t>
      </w:r>
      <w:r>
        <w:rPr>
          <w:rFonts w:hint="eastAsia" w:ascii="宋体" w:hAnsi="宋体"/>
          <w:szCs w:val="21"/>
          <w:u w:val="single"/>
        </w:rPr>
        <w:t xml:space="preserve">                  </w:t>
      </w:r>
      <w:r>
        <w:rPr>
          <w:rFonts w:hint="eastAsia" w:ascii="宋体" w:hAnsi="宋体"/>
          <w:szCs w:val="21"/>
        </w:rPr>
        <w:t>政府采购合同》 （以下简称主合同），且依据该合同的约定，供应商应在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日前向你方交纳履约保证金，且可以履约担保函的形式交纳履约保证金。应供应商的申请，我方以保证的方式向你方提供如下履约保证金担保：</w:t>
      </w:r>
    </w:p>
    <w:p>
      <w:pPr>
        <w:spacing w:line="360" w:lineRule="auto"/>
        <w:rPr>
          <w:rFonts w:ascii="宋体" w:hAnsi="宋体"/>
          <w:szCs w:val="21"/>
        </w:rPr>
      </w:pPr>
      <w:r>
        <w:rPr>
          <w:rFonts w:hint="eastAsia" w:ascii="宋体" w:hAnsi="宋体"/>
          <w:szCs w:val="21"/>
        </w:rPr>
        <w:t>一、保证责任的情形及保证金额</w:t>
      </w:r>
    </w:p>
    <w:p>
      <w:pPr>
        <w:spacing w:line="360" w:lineRule="auto"/>
        <w:ind w:left="141" w:leftChars="67"/>
        <w:rPr>
          <w:rFonts w:ascii="宋体" w:hAnsi="宋体"/>
          <w:szCs w:val="21"/>
        </w:rPr>
      </w:pPr>
      <w:r>
        <w:rPr>
          <w:rFonts w:hint="eastAsia" w:ascii="宋体" w:hAnsi="宋体"/>
          <w:szCs w:val="21"/>
        </w:rPr>
        <w:t>（一）在供应商出现下列情形之一时，我方承担保证责任：</w:t>
      </w:r>
    </w:p>
    <w:p>
      <w:pPr>
        <w:spacing w:line="360" w:lineRule="auto"/>
        <w:ind w:left="283" w:leftChars="135"/>
        <w:rPr>
          <w:rFonts w:ascii="宋体" w:hAnsi="宋体"/>
          <w:szCs w:val="21"/>
        </w:rPr>
      </w:pPr>
      <w:r>
        <w:rPr>
          <w:rFonts w:hint="eastAsia" w:ascii="宋体" w:hAnsi="宋体"/>
          <w:szCs w:val="21"/>
        </w:rPr>
        <w:t>1.将中标项目转让给他人，或者在投标文件中未说明，且未经采购招标机构人同意，将中标项目分包给他人的；</w:t>
      </w:r>
    </w:p>
    <w:p>
      <w:pPr>
        <w:spacing w:line="360" w:lineRule="auto"/>
        <w:ind w:left="283" w:leftChars="135"/>
        <w:rPr>
          <w:rFonts w:ascii="宋体" w:hAnsi="宋体"/>
          <w:szCs w:val="21"/>
        </w:rPr>
      </w:pPr>
      <w:r>
        <w:rPr>
          <w:rFonts w:hint="eastAsia" w:ascii="宋体" w:hAnsi="宋体"/>
          <w:szCs w:val="21"/>
        </w:rPr>
        <w:t>2.主合同约定的应当缴纳履约保证金的情形</w:t>
      </w:r>
    </w:p>
    <w:p>
      <w:pPr>
        <w:spacing w:line="360" w:lineRule="auto"/>
        <w:ind w:left="283" w:leftChars="135"/>
        <w:rPr>
          <w:rFonts w:ascii="宋体" w:hAnsi="宋体"/>
          <w:szCs w:val="21"/>
        </w:rPr>
      </w:pPr>
      <w:r>
        <w:rPr>
          <w:rFonts w:hint="eastAsia" w:ascii="宋体" w:hAnsi="宋体"/>
          <w:szCs w:val="21"/>
        </w:rPr>
        <w:t>(1）未按主合同约定的质量、数量和期限供应货物/提供服务/完成工程的；</w:t>
      </w:r>
    </w:p>
    <w:p>
      <w:pPr>
        <w:spacing w:line="360" w:lineRule="auto"/>
        <w:ind w:left="283" w:leftChars="135"/>
        <w:rPr>
          <w:rFonts w:ascii="宋体" w:hAnsi="宋体"/>
          <w:szCs w:val="21"/>
        </w:rPr>
      </w:pPr>
      <w:r>
        <w:rPr>
          <w:rFonts w:hint="eastAsia" w:ascii="宋体" w:hAnsi="宋体"/>
          <w:szCs w:val="21"/>
        </w:rPr>
        <w:t>(2)</w:t>
      </w:r>
      <w:r>
        <w:rPr>
          <w:rFonts w:hint="eastAsia" w:ascii="宋体" w:hAnsi="宋体"/>
          <w:szCs w:val="21"/>
          <w:u w:val="single"/>
        </w:rPr>
        <w:t xml:space="preserve">                                                            。</w:t>
      </w:r>
    </w:p>
    <w:p>
      <w:pPr>
        <w:spacing w:line="360" w:lineRule="auto"/>
        <w:ind w:left="283" w:leftChars="135"/>
        <w:rPr>
          <w:rFonts w:ascii="宋体" w:hAnsi="宋体"/>
          <w:szCs w:val="21"/>
        </w:rPr>
      </w:pPr>
      <w:r>
        <w:rPr>
          <w:rFonts w:hint="eastAsia" w:ascii="宋体" w:hAnsi="宋体"/>
          <w:szCs w:val="21"/>
        </w:rPr>
        <w:t>（二）我方的保证范围是主合同约定的合同价款总额的</w:t>
      </w:r>
      <w:r>
        <w:rPr>
          <w:rFonts w:hint="eastAsia" w:ascii="宋体" w:hAnsi="宋体"/>
          <w:szCs w:val="21"/>
          <w:u w:val="single"/>
        </w:rPr>
        <w:t xml:space="preserve">      </w:t>
      </w:r>
      <w:r>
        <w:rPr>
          <w:rFonts w:hint="eastAsia" w:ascii="宋体" w:hAnsi="宋体"/>
          <w:szCs w:val="21"/>
        </w:rPr>
        <w:t>%数额为</w:t>
      </w:r>
      <w:r>
        <w:rPr>
          <w:rFonts w:hint="eastAsia" w:ascii="宋体" w:hAnsi="宋体"/>
          <w:szCs w:val="21"/>
          <w:u w:val="single"/>
        </w:rPr>
        <w:t xml:space="preserve">        </w:t>
      </w:r>
      <w:r>
        <w:rPr>
          <w:rFonts w:hint="eastAsia" w:ascii="宋体" w:hAnsi="宋体"/>
          <w:szCs w:val="21"/>
        </w:rPr>
        <w:t>元（大写：</w:t>
      </w:r>
      <w:r>
        <w:rPr>
          <w:rFonts w:hint="eastAsia" w:ascii="宋体" w:hAnsi="宋体"/>
          <w:szCs w:val="21"/>
          <w:u w:val="single"/>
        </w:rPr>
        <w:t xml:space="preserve">          </w:t>
      </w:r>
      <w:r>
        <w:rPr>
          <w:rFonts w:hint="eastAsia" w:ascii="宋体" w:hAnsi="宋体"/>
          <w:szCs w:val="21"/>
        </w:rPr>
        <w:t>)，币种为</w:t>
      </w:r>
      <w:r>
        <w:rPr>
          <w:rFonts w:hint="eastAsia" w:ascii="宋体" w:hAnsi="宋体"/>
          <w:szCs w:val="21"/>
          <w:u w:val="single"/>
        </w:rPr>
        <w:t xml:space="preserve">                。</w:t>
      </w:r>
      <w:r>
        <w:rPr>
          <w:rFonts w:hint="eastAsia" w:ascii="宋体" w:hAnsi="宋体"/>
          <w:szCs w:val="21"/>
        </w:rPr>
        <w:t>（即主合同履约保证金金额）</w:t>
      </w:r>
    </w:p>
    <w:p>
      <w:pPr>
        <w:spacing w:line="360" w:lineRule="auto"/>
        <w:rPr>
          <w:rFonts w:ascii="宋体" w:hAnsi="宋体"/>
          <w:szCs w:val="21"/>
        </w:rPr>
      </w:pPr>
      <w:r>
        <w:rPr>
          <w:rFonts w:hint="eastAsia" w:ascii="宋体" w:hAnsi="宋体"/>
          <w:szCs w:val="21"/>
        </w:rPr>
        <w:t>二、保证的方式及保证期间</w:t>
      </w:r>
    </w:p>
    <w:p>
      <w:pPr>
        <w:spacing w:line="360" w:lineRule="auto"/>
        <w:ind w:firstLine="420" w:firstLineChars="200"/>
        <w:rPr>
          <w:rFonts w:ascii="宋体" w:hAnsi="宋体"/>
          <w:szCs w:val="21"/>
        </w:rPr>
      </w:pPr>
      <w:r>
        <w:rPr>
          <w:rFonts w:hint="eastAsia" w:ascii="宋体" w:hAnsi="宋体"/>
          <w:szCs w:val="21"/>
        </w:rPr>
        <w:t>我方保证的方式为：连带责任保证。</w:t>
      </w:r>
    </w:p>
    <w:p>
      <w:pPr>
        <w:spacing w:line="360" w:lineRule="auto"/>
        <w:ind w:firstLine="420" w:firstLineChars="200"/>
        <w:rPr>
          <w:rFonts w:ascii="宋体" w:hAnsi="宋体"/>
          <w:szCs w:val="21"/>
        </w:rPr>
      </w:pPr>
      <w:r>
        <w:rPr>
          <w:rFonts w:hint="eastAsia" w:ascii="宋体" w:hAnsi="宋体"/>
          <w:szCs w:val="21"/>
        </w:rPr>
        <w:t>我方保证的期间为：自本合同生效之日起至供应商按照主合同约定的供货/完工期限届满后</w:t>
      </w:r>
      <w:r>
        <w:rPr>
          <w:rFonts w:hint="eastAsia" w:ascii="宋体" w:hAnsi="宋体"/>
          <w:szCs w:val="21"/>
          <w:u w:val="single"/>
        </w:rPr>
        <w:t xml:space="preserve">    </w:t>
      </w:r>
      <w:r>
        <w:rPr>
          <w:rFonts w:hint="eastAsia" w:ascii="宋体" w:hAnsi="宋体"/>
          <w:szCs w:val="21"/>
        </w:rPr>
        <w:t>日内。</w:t>
      </w:r>
    </w:p>
    <w:p>
      <w:pPr>
        <w:spacing w:line="360" w:lineRule="auto"/>
        <w:ind w:firstLine="420" w:firstLineChars="200"/>
        <w:rPr>
          <w:rFonts w:ascii="宋体" w:hAnsi="宋体"/>
          <w:szCs w:val="21"/>
        </w:rPr>
      </w:pPr>
      <w:r>
        <w:rPr>
          <w:rFonts w:hint="eastAsia" w:ascii="宋体" w:hAnsi="宋体"/>
          <w:szCs w:val="21"/>
        </w:rPr>
        <w:t>如果供应商未按主合同约定向贵方供应货物/提供服务/完成工程的，由我方在保证金额内向你方支付上述款项。</w:t>
      </w:r>
    </w:p>
    <w:p>
      <w:pPr>
        <w:spacing w:line="360" w:lineRule="auto"/>
        <w:rPr>
          <w:rFonts w:ascii="宋体" w:hAnsi="宋体"/>
          <w:szCs w:val="21"/>
        </w:rPr>
      </w:pPr>
      <w:r>
        <w:rPr>
          <w:rFonts w:hint="eastAsia" w:ascii="宋体" w:hAnsi="宋体"/>
          <w:szCs w:val="21"/>
        </w:rPr>
        <w:t>三、承担保证责任的程序</w:t>
      </w:r>
    </w:p>
    <w:p>
      <w:pPr>
        <w:spacing w:line="360" w:lineRule="auto"/>
        <w:ind w:left="283" w:leftChars="135"/>
        <w:rPr>
          <w:rFonts w:ascii="宋体" w:hAnsi="宋体"/>
          <w:szCs w:val="21"/>
        </w:rPr>
      </w:pPr>
      <w:r>
        <w:rPr>
          <w:rFonts w:hint="eastAsia" w:ascii="宋体" w:hAnsi="宋体"/>
          <w:szCs w:val="21"/>
        </w:rPr>
        <w:t>1.你方要求我方承担保证责任的，应在本保函保证期间内向我方发出书面索赔通知，索赔通知应写明要求索赔的金额，支付款项应到达的账号并附有证明供应商违约事实的证明材料。</w:t>
      </w:r>
    </w:p>
    <w:p>
      <w:pPr>
        <w:spacing w:line="360" w:lineRule="auto"/>
        <w:ind w:left="283" w:leftChars="135"/>
        <w:rPr>
          <w:rFonts w:ascii="宋体" w:hAnsi="宋体"/>
          <w:szCs w:val="21"/>
        </w:rPr>
      </w:pPr>
      <w:r>
        <w:rPr>
          <w:rFonts w:hint="eastAsia" w:ascii="宋体" w:hAnsi="宋体"/>
          <w:szCs w:val="21"/>
        </w:rPr>
        <w:t>如果你方与供应商因货物质量问题产生争议，你方还需同时提供</w:t>
      </w:r>
      <w:r>
        <w:rPr>
          <w:rFonts w:hint="eastAsia" w:ascii="宋体" w:hAnsi="宋体"/>
          <w:szCs w:val="21"/>
          <w:u w:val="single"/>
        </w:rPr>
        <w:t xml:space="preserve">          </w:t>
      </w:r>
      <w:r>
        <w:rPr>
          <w:rFonts w:hint="eastAsia" w:ascii="宋体" w:hAnsi="宋体"/>
          <w:szCs w:val="21"/>
        </w:rPr>
        <w:t>部门出具的质量检测报告，或经诉讼（仲裁）程序裁决后的裁决书、调解书，本保证人即按照检测结果或裁决书、调解书决定是否承担保证责任。</w:t>
      </w:r>
    </w:p>
    <w:p>
      <w:pPr>
        <w:spacing w:line="360" w:lineRule="auto"/>
        <w:ind w:left="283" w:leftChars="135"/>
        <w:rPr>
          <w:rFonts w:ascii="宋体" w:hAnsi="宋体"/>
          <w:szCs w:val="21"/>
        </w:rPr>
      </w:pPr>
      <w:r>
        <w:rPr>
          <w:rFonts w:hint="eastAsia" w:ascii="宋体" w:hAnsi="宋体"/>
          <w:szCs w:val="21"/>
        </w:rPr>
        <w:t>2.我方收到你方的书面索赔通知及相应证明材料，在</w:t>
      </w:r>
      <w:r>
        <w:rPr>
          <w:rFonts w:hint="eastAsia" w:ascii="宋体" w:hAnsi="宋体"/>
          <w:szCs w:val="21"/>
          <w:u w:val="single"/>
        </w:rPr>
        <w:t xml:space="preserve">     </w:t>
      </w:r>
      <w:r>
        <w:rPr>
          <w:rFonts w:hint="eastAsia" w:ascii="宋体" w:hAnsi="宋体"/>
          <w:szCs w:val="21"/>
        </w:rPr>
        <w:t>工作日内进行核定后按照本保函的承诺承担保证责任。</w:t>
      </w:r>
    </w:p>
    <w:p>
      <w:pPr>
        <w:spacing w:line="360" w:lineRule="auto"/>
        <w:rPr>
          <w:rFonts w:ascii="宋体" w:hAnsi="宋体"/>
          <w:szCs w:val="21"/>
        </w:rPr>
      </w:pPr>
      <w:r>
        <w:rPr>
          <w:rFonts w:hint="eastAsia" w:ascii="宋体" w:hAnsi="宋体"/>
          <w:szCs w:val="21"/>
        </w:rPr>
        <w:t>四、保证责任的终止</w:t>
      </w:r>
    </w:p>
    <w:p>
      <w:pPr>
        <w:spacing w:line="360" w:lineRule="auto"/>
        <w:ind w:left="281" w:leftChars="134"/>
        <w:rPr>
          <w:rFonts w:ascii="宋体" w:hAnsi="宋体"/>
          <w:szCs w:val="21"/>
        </w:rPr>
      </w:pPr>
      <w:r>
        <w:rPr>
          <w:rFonts w:hint="eastAsia" w:ascii="宋体" w:hAnsi="宋体"/>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left="281" w:leftChars="134"/>
        <w:rPr>
          <w:rFonts w:ascii="宋体" w:hAnsi="宋体"/>
          <w:szCs w:val="21"/>
        </w:rPr>
      </w:pPr>
      <w:r>
        <w:rPr>
          <w:rFonts w:hint="eastAsia" w:ascii="宋体" w:hAnsi="宋体"/>
          <w:szCs w:val="21"/>
        </w:rPr>
        <w:t>2.我方按照本保函向你方履行了保证责任后，自我方向你方支付款项（支付款项从我方账户划出）之日起，保证责任即终止。</w:t>
      </w:r>
    </w:p>
    <w:p>
      <w:pPr>
        <w:spacing w:line="360" w:lineRule="auto"/>
        <w:ind w:left="281" w:leftChars="134"/>
        <w:rPr>
          <w:rFonts w:ascii="宋体" w:hAnsi="宋体"/>
          <w:szCs w:val="21"/>
        </w:rPr>
      </w:pPr>
      <w:r>
        <w:rPr>
          <w:rFonts w:hint="eastAsia" w:ascii="宋体" w:hAnsi="宋体"/>
          <w:szCs w:val="21"/>
        </w:rPr>
        <w:t>3.按照法律法规的规定或出现应终止我方保证责任的其他情形的，我方在本保函项下的保证责任亦终止。</w:t>
      </w:r>
    </w:p>
    <w:p>
      <w:pPr>
        <w:spacing w:line="360" w:lineRule="auto"/>
        <w:ind w:left="281" w:leftChars="134"/>
        <w:rPr>
          <w:rFonts w:ascii="宋体" w:hAnsi="宋体"/>
          <w:szCs w:val="21"/>
        </w:rPr>
      </w:pPr>
      <w:r>
        <w:rPr>
          <w:rFonts w:hint="eastAsia" w:ascii="宋体" w:hAnsi="宋体"/>
          <w:szCs w:val="21"/>
        </w:rPr>
        <w:t>4.你方与供应商修改主合同，加重我方保证责任的，我方对加重部分不承担保证责任，但该等修改事先经我方书面同意的除外；你方与供应商修改主合同履行期限，我方保证期间仍以修改前的履行期限计算，但该等修改事先经我方书面同意的除外。</w:t>
      </w:r>
    </w:p>
    <w:p>
      <w:pPr>
        <w:spacing w:line="360" w:lineRule="auto"/>
        <w:rPr>
          <w:rFonts w:ascii="宋体" w:hAnsi="宋体"/>
          <w:szCs w:val="21"/>
        </w:rPr>
      </w:pPr>
      <w:r>
        <w:rPr>
          <w:rFonts w:hint="eastAsia" w:ascii="宋体" w:hAnsi="宋体"/>
          <w:szCs w:val="21"/>
        </w:rPr>
        <w:t>五、免责条款</w:t>
      </w:r>
    </w:p>
    <w:p>
      <w:pPr>
        <w:spacing w:line="360" w:lineRule="auto"/>
        <w:ind w:left="283" w:leftChars="135"/>
        <w:rPr>
          <w:rFonts w:ascii="宋体" w:hAnsi="宋体"/>
          <w:szCs w:val="21"/>
        </w:rPr>
      </w:pPr>
      <w:r>
        <w:rPr>
          <w:rFonts w:hint="eastAsia" w:ascii="宋体" w:hAnsi="宋体"/>
          <w:szCs w:val="21"/>
        </w:rPr>
        <w:t>1.因你方违反主合同约定致使供应商不能履行义务的，我方不承担保证责任。</w:t>
      </w:r>
    </w:p>
    <w:p>
      <w:pPr>
        <w:spacing w:line="360" w:lineRule="auto"/>
        <w:ind w:left="283" w:leftChars="135"/>
        <w:rPr>
          <w:rFonts w:ascii="宋体" w:hAnsi="宋体"/>
          <w:szCs w:val="21"/>
        </w:rPr>
      </w:pPr>
      <w:r>
        <w:rPr>
          <w:rFonts w:hint="eastAsia" w:ascii="宋体" w:hAnsi="宋体"/>
          <w:szCs w:val="21"/>
        </w:rPr>
        <w:t>2.依照法律法规的规定或你方与供应商的另行约定，全部或者部分免除供应商应缴纳的保证金义务的，我方亦免除相应的保证责任。</w:t>
      </w:r>
    </w:p>
    <w:p>
      <w:pPr>
        <w:spacing w:line="360" w:lineRule="auto"/>
        <w:ind w:left="283" w:leftChars="135"/>
        <w:rPr>
          <w:rFonts w:ascii="宋体" w:hAnsi="宋体"/>
          <w:szCs w:val="21"/>
        </w:rPr>
      </w:pPr>
      <w:r>
        <w:rPr>
          <w:rFonts w:hint="eastAsia" w:ascii="宋体" w:hAnsi="宋体"/>
          <w:szCs w:val="21"/>
        </w:rPr>
        <w:t>3.因不可抗力造成供应商不能履行供货义务的，我方不承担保证责任。</w:t>
      </w:r>
    </w:p>
    <w:p>
      <w:pPr>
        <w:spacing w:line="360" w:lineRule="auto"/>
        <w:rPr>
          <w:rFonts w:ascii="宋体" w:hAnsi="宋体"/>
          <w:szCs w:val="21"/>
        </w:rPr>
      </w:pPr>
      <w:r>
        <w:rPr>
          <w:rFonts w:hint="eastAsia" w:ascii="宋体" w:hAnsi="宋体"/>
          <w:szCs w:val="21"/>
        </w:rPr>
        <w:t>六、争议的解决</w:t>
      </w:r>
    </w:p>
    <w:p>
      <w:pPr>
        <w:spacing w:line="360" w:lineRule="auto"/>
        <w:ind w:firstLine="420" w:firstLineChars="200"/>
        <w:rPr>
          <w:rFonts w:ascii="宋体" w:hAnsi="宋体"/>
          <w:szCs w:val="21"/>
        </w:rPr>
      </w:pPr>
      <w:r>
        <w:rPr>
          <w:rFonts w:hint="eastAsia" w:ascii="宋体" w:hAnsi="宋体"/>
          <w:szCs w:val="21"/>
        </w:rPr>
        <w:t>因本保函发生的纠纷，由你我双方协商解决，协商不成的，通过诉讼程序解决，诉讼管辖地法院为</w:t>
      </w:r>
      <w:r>
        <w:rPr>
          <w:rFonts w:hint="eastAsia" w:ascii="宋体" w:hAnsi="宋体"/>
          <w:szCs w:val="21"/>
          <w:u w:val="single"/>
        </w:rPr>
        <w:t xml:space="preserve">               </w:t>
      </w:r>
      <w:r>
        <w:rPr>
          <w:rFonts w:hint="eastAsia" w:ascii="宋体" w:hAnsi="宋体"/>
          <w:szCs w:val="21"/>
        </w:rPr>
        <w:t>法院。</w:t>
      </w:r>
    </w:p>
    <w:p>
      <w:pPr>
        <w:spacing w:line="360" w:lineRule="auto"/>
        <w:rPr>
          <w:rFonts w:ascii="宋体" w:hAnsi="宋体"/>
          <w:szCs w:val="21"/>
        </w:rPr>
      </w:pPr>
      <w:r>
        <w:rPr>
          <w:rFonts w:hint="eastAsia" w:ascii="宋体" w:hAnsi="宋体"/>
          <w:szCs w:val="21"/>
        </w:rPr>
        <w:t>七、保函的生效</w:t>
      </w:r>
    </w:p>
    <w:p>
      <w:pPr>
        <w:spacing w:line="360" w:lineRule="auto"/>
        <w:ind w:firstLine="420" w:firstLineChars="200"/>
        <w:rPr>
          <w:rFonts w:ascii="宋体" w:hAnsi="宋体"/>
          <w:szCs w:val="21"/>
        </w:rPr>
      </w:pPr>
      <w:r>
        <w:rPr>
          <w:rFonts w:hint="eastAsia" w:ascii="宋体" w:hAnsi="宋体"/>
          <w:szCs w:val="21"/>
        </w:rPr>
        <w:t>本保函自我方加盖公章之日起生效。</w:t>
      </w:r>
    </w:p>
    <w:p>
      <w:pPr>
        <w:spacing w:before="600" w:beforeLines="250" w:line="360" w:lineRule="auto"/>
        <w:jc w:val="right"/>
        <w:rPr>
          <w:rFonts w:ascii="宋体" w:hAnsi="宋体"/>
          <w:szCs w:val="21"/>
        </w:rPr>
      </w:pPr>
      <w:r>
        <w:rPr>
          <w:rFonts w:hint="eastAsia" w:ascii="宋体" w:hAnsi="宋体"/>
          <w:szCs w:val="21"/>
        </w:rPr>
        <w:t>保证人：（公章）</w:t>
      </w:r>
    </w:p>
    <w:p>
      <w:pPr>
        <w:spacing w:line="360" w:lineRule="auto"/>
        <w:ind w:firstLine="420" w:firstLineChars="200"/>
        <w:jc w:val="right"/>
        <w:rPr>
          <w:rFonts w:ascii="宋体" w:hAnsi="宋体"/>
          <w:szCs w:val="21"/>
        </w:rPr>
      </w:pPr>
      <w:r>
        <w:rPr>
          <w:rFonts w:hint="eastAsia" w:ascii="宋体" w:hAnsi="宋体"/>
          <w:szCs w:val="21"/>
        </w:rPr>
        <w:t>年   月   日</w:t>
      </w:r>
    </w:p>
    <w:p>
      <w:pPr>
        <w:pStyle w:val="114"/>
        <w:spacing w:line="440" w:lineRule="exact"/>
        <w:ind w:firstLine="0" w:firstLineChars="0"/>
        <w:rPr>
          <w:rFonts w:ascii="宋体" w:eastAsia="宋体"/>
          <w:sz w:val="24"/>
        </w:rPr>
      </w:pPr>
    </w:p>
    <w:p>
      <w:pPr>
        <w:pStyle w:val="114"/>
        <w:spacing w:line="440" w:lineRule="exact"/>
        <w:ind w:right="210" w:firstLine="0" w:firstLineChars="0"/>
        <w:rPr>
          <w:rFonts w:ascii="Time New Roma" w:hAnsi="Time New Roma" w:eastAsia="宋体"/>
          <w:sz w:val="24"/>
        </w:rPr>
      </w:pPr>
      <w:r>
        <w:rPr>
          <w:rFonts w:ascii="Time New Roma" w:hAnsi="Time New Roma" w:eastAsia="宋体"/>
          <w:sz w:val="24"/>
        </w:rPr>
        <w:br w:type="page"/>
      </w:r>
      <w:r>
        <w:rPr>
          <w:rFonts w:hint="eastAsia" w:ascii="Time New Roma" w:hAnsi="Time New Roma" w:eastAsia="宋体"/>
          <w:b/>
          <w:sz w:val="24"/>
        </w:rPr>
        <w:t>附件：质疑函范本</w:t>
      </w:r>
    </w:p>
    <w:p>
      <w:pPr>
        <w:pStyle w:val="114"/>
        <w:spacing w:line="440" w:lineRule="exact"/>
        <w:ind w:right="210" w:firstLine="0" w:firstLineChars="0"/>
        <w:jc w:val="center"/>
        <w:rPr>
          <w:rFonts w:ascii="宋体" w:eastAsia="宋体"/>
          <w:b/>
          <w:spacing w:val="20"/>
          <w:sz w:val="30"/>
          <w:szCs w:val="30"/>
        </w:rPr>
      </w:pPr>
      <w:r>
        <w:rPr>
          <w:rFonts w:hint="eastAsia" w:ascii="宋体" w:eastAsia="宋体"/>
          <w:b/>
          <w:spacing w:val="20"/>
          <w:sz w:val="30"/>
          <w:szCs w:val="30"/>
        </w:rPr>
        <w:t>质疑函范本</w:t>
      </w:r>
    </w:p>
    <w:p>
      <w:pPr>
        <w:spacing w:line="440" w:lineRule="exact"/>
        <w:ind w:firstLine="480" w:firstLineChars="200"/>
        <w:jc w:val="left"/>
        <w:rPr>
          <w:rFonts w:ascii="宋体" w:hAnsi="宋体" w:cs="仿宋"/>
          <w:bCs/>
          <w:sz w:val="24"/>
        </w:rPr>
      </w:pPr>
      <w:r>
        <w:rPr>
          <w:rFonts w:hint="eastAsia" w:ascii="宋体" w:hAnsi="宋体" w:cs="仿宋"/>
          <w:bCs/>
          <w:sz w:val="24"/>
        </w:rPr>
        <w:t>一、质疑供应商基本信息</w:t>
      </w:r>
    </w:p>
    <w:p>
      <w:pPr>
        <w:spacing w:line="440" w:lineRule="exact"/>
        <w:ind w:firstLine="480" w:firstLineChars="200"/>
        <w:jc w:val="left"/>
        <w:rPr>
          <w:rFonts w:ascii="宋体" w:hAnsi="宋体" w:cs="仿宋"/>
          <w:sz w:val="24"/>
          <w:u w:val="dotted"/>
        </w:rPr>
      </w:pPr>
      <w:r>
        <w:rPr>
          <w:rFonts w:hint="eastAsia" w:ascii="宋体" w:hAnsi="宋体" w:cs="仿宋"/>
          <w:sz w:val="24"/>
        </w:rPr>
        <w:t>质疑供应商：</w:t>
      </w:r>
      <w:r>
        <w:rPr>
          <w:rFonts w:hint="eastAsia" w:ascii="宋体" w:hAnsi="宋体" w:cs="仿宋"/>
          <w:sz w:val="24"/>
          <w:u w:val="dotted"/>
        </w:rPr>
        <w:t xml:space="preserve">                                        </w:t>
      </w:r>
    </w:p>
    <w:p>
      <w:pPr>
        <w:spacing w:line="440" w:lineRule="exact"/>
        <w:ind w:firstLine="480" w:firstLineChars="200"/>
        <w:jc w:val="left"/>
        <w:rPr>
          <w:rFonts w:ascii="宋体" w:hAnsi="宋体" w:cs="仿宋"/>
          <w:sz w:val="24"/>
        </w:rPr>
      </w:pPr>
      <w:r>
        <w:rPr>
          <w:rFonts w:hint="eastAsia" w:ascii="宋体" w:hAnsi="宋体" w:cs="仿宋"/>
          <w:sz w:val="24"/>
        </w:rPr>
        <w:t>地址：</w:t>
      </w:r>
      <w:r>
        <w:rPr>
          <w:rFonts w:hint="eastAsia" w:ascii="宋体" w:hAnsi="宋体" w:cs="仿宋"/>
          <w:sz w:val="24"/>
          <w:u w:val="dotted"/>
        </w:rPr>
        <w:t xml:space="preserve">                          </w:t>
      </w:r>
      <w:r>
        <w:rPr>
          <w:rFonts w:hint="eastAsia" w:ascii="宋体" w:hAnsi="宋体" w:cs="仿宋"/>
          <w:sz w:val="24"/>
        </w:rPr>
        <w:t>邮编：</w:t>
      </w:r>
      <w:r>
        <w:rPr>
          <w:rFonts w:hint="eastAsia" w:ascii="宋体" w:hAnsi="宋体" w:cs="仿宋"/>
          <w:sz w:val="24"/>
          <w:u w:val="dotted"/>
        </w:rPr>
        <w:t xml:space="preserve">                                                   </w:t>
      </w:r>
    </w:p>
    <w:p>
      <w:pPr>
        <w:spacing w:line="440" w:lineRule="exact"/>
        <w:ind w:firstLine="480" w:firstLineChars="200"/>
        <w:jc w:val="left"/>
        <w:rPr>
          <w:rFonts w:ascii="宋体" w:hAnsi="宋体" w:cs="仿宋"/>
          <w:sz w:val="24"/>
        </w:rPr>
      </w:pPr>
      <w:r>
        <w:rPr>
          <w:rFonts w:hint="eastAsia" w:ascii="宋体" w:hAnsi="宋体" w:cs="仿宋"/>
          <w:sz w:val="24"/>
        </w:rPr>
        <w:t>联系人：</w:t>
      </w:r>
      <w:r>
        <w:rPr>
          <w:rFonts w:hint="eastAsia" w:ascii="宋体" w:hAnsi="宋体" w:cs="仿宋"/>
          <w:sz w:val="24"/>
          <w:u w:val="dotted"/>
        </w:rPr>
        <w:t xml:space="preserve">                      </w:t>
      </w:r>
      <w:r>
        <w:rPr>
          <w:rFonts w:hint="eastAsia" w:ascii="宋体" w:hAnsi="宋体" w:cs="仿宋"/>
          <w:sz w:val="24"/>
        </w:rPr>
        <w:t>联系电话：</w:t>
      </w:r>
      <w:r>
        <w:rPr>
          <w:rFonts w:hint="eastAsia" w:ascii="宋体" w:hAnsi="宋体" w:cs="仿宋"/>
          <w:sz w:val="24"/>
          <w:u w:val="dotted"/>
        </w:rPr>
        <w:t xml:space="preserve">                              </w:t>
      </w:r>
    </w:p>
    <w:p>
      <w:pPr>
        <w:spacing w:line="440" w:lineRule="exact"/>
        <w:ind w:firstLine="480" w:firstLineChars="200"/>
        <w:jc w:val="left"/>
        <w:rPr>
          <w:rFonts w:ascii="宋体" w:hAnsi="宋体" w:cs="仿宋"/>
          <w:sz w:val="24"/>
          <w:u w:val="dotted"/>
        </w:rPr>
      </w:pPr>
      <w:r>
        <w:rPr>
          <w:rFonts w:hint="eastAsia" w:ascii="宋体" w:hAnsi="宋体" w:cs="仿宋"/>
          <w:sz w:val="24"/>
        </w:rPr>
        <w:t>授权代表：</w:t>
      </w:r>
      <w:r>
        <w:rPr>
          <w:rFonts w:hint="eastAsia" w:ascii="宋体" w:hAnsi="宋体" w:cs="仿宋"/>
          <w:sz w:val="24"/>
          <w:u w:val="dotted"/>
        </w:rPr>
        <w:t xml:space="preserve">                                          </w:t>
      </w:r>
    </w:p>
    <w:p>
      <w:pPr>
        <w:spacing w:line="440" w:lineRule="exact"/>
        <w:ind w:firstLine="480" w:firstLineChars="200"/>
        <w:jc w:val="left"/>
        <w:rPr>
          <w:rFonts w:ascii="宋体" w:hAnsi="宋体" w:cs="仿宋"/>
          <w:sz w:val="24"/>
        </w:rPr>
      </w:pPr>
      <w:r>
        <w:rPr>
          <w:rFonts w:hint="eastAsia" w:ascii="宋体" w:hAnsi="宋体" w:cs="仿宋"/>
          <w:sz w:val="24"/>
        </w:rPr>
        <w:t>联系电话：</w:t>
      </w:r>
      <w:r>
        <w:rPr>
          <w:rFonts w:hint="eastAsia" w:ascii="宋体" w:hAnsi="宋体" w:cs="仿宋"/>
          <w:sz w:val="24"/>
          <w:u w:val="dotted"/>
        </w:rPr>
        <w:t xml:space="preserve">                                           </w:t>
      </w:r>
      <w:r>
        <w:rPr>
          <w:rFonts w:ascii="宋体" w:hAnsi="宋体" w:cs="仿宋"/>
          <w:sz w:val="24"/>
        </w:rPr>
        <w:t xml:space="preserve"> </w:t>
      </w:r>
    </w:p>
    <w:p>
      <w:pPr>
        <w:spacing w:line="440" w:lineRule="exact"/>
        <w:ind w:firstLine="480" w:firstLineChars="200"/>
        <w:jc w:val="left"/>
        <w:rPr>
          <w:rFonts w:ascii="宋体" w:hAnsi="宋体" w:cs="仿宋"/>
          <w:sz w:val="24"/>
        </w:rPr>
      </w:pPr>
      <w:r>
        <w:rPr>
          <w:rFonts w:hint="eastAsia" w:ascii="宋体" w:hAnsi="宋体" w:cs="仿宋"/>
          <w:sz w:val="24"/>
        </w:rPr>
        <w:t>地址：</w:t>
      </w:r>
      <w:r>
        <w:rPr>
          <w:rFonts w:ascii="宋体" w:hAnsi="宋体" w:cs="仿宋"/>
          <w:sz w:val="24"/>
        </w:rPr>
        <w:t xml:space="preserve"> </w:t>
      </w:r>
      <w:r>
        <w:rPr>
          <w:rFonts w:hint="eastAsia" w:ascii="宋体" w:hAnsi="宋体" w:cs="仿宋"/>
          <w:sz w:val="24"/>
          <w:u w:val="dotted"/>
        </w:rPr>
        <w:t xml:space="preserve">                        </w:t>
      </w:r>
      <w:r>
        <w:rPr>
          <w:rFonts w:hint="eastAsia" w:ascii="宋体" w:hAnsi="宋体" w:cs="仿宋"/>
          <w:sz w:val="24"/>
        </w:rPr>
        <w:t>邮编：</w:t>
      </w:r>
      <w:r>
        <w:rPr>
          <w:rFonts w:hint="eastAsia" w:ascii="宋体" w:hAnsi="宋体" w:cs="仿宋"/>
          <w:sz w:val="24"/>
          <w:u w:val="dotted"/>
        </w:rPr>
        <w:t xml:space="preserve">                                                </w:t>
      </w:r>
    </w:p>
    <w:p>
      <w:pPr>
        <w:spacing w:line="440" w:lineRule="exact"/>
        <w:ind w:firstLine="480" w:firstLineChars="200"/>
        <w:jc w:val="left"/>
        <w:rPr>
          <w:rFonts w:ascii="宋体" w:hAnsi="宋体" w:cs="仿宋"/>
          <w:bCs/>
          <w:sz w:val="24"/>
        </w:rPr>
      </w:pPr>
      <w:r>
        <w:rPr>
          <w:rFonts w:hint="eastAsia" w:ascii="宋体" w:hAnsi="宋体" w:cs="仿宋"/>
          <w:bCs/>
          <w:sz w:val="24"/>
        </w:rPr>
        <w:t>二、质疑项目基本情况</w:t>
      </w:r>
    </w:p>
    <w:p>
      <w:pPr>
        <w:spacing w:line="440" w:lineRule="exact"/>
        <w:ind w:firstLine="480" w:firstLineChars="200"/>
        <w:jc w:val="left"/>
        <w:rPr>
          <w:rFonts w:ascii="宋体" w:hAnsi="宋体" w:cs="仿宋"/>
          <w:sz w:val="24"/>
        </w:rPr>
      </w:pPr>
      <w:r>
        <w:rPr>
          <w:rFonts w:hint="eastAsia" w:ascii="宋体" w:hAnsi="宋体" w:cs="仿宋"/>
          <w:sz w:val="24"/>
        </w:rPr>
        <w:t>质疑项目的名称：</w:t>
      </w:r>
      <w:r>
        <w:rPr>
          <w:rFonts w:hint="eastAsia" w:ascii="宋体" w:hAnsi="宋体" w:cs="仿宋"/>
          <w:sz w:val="24"/>
          <w:u w:val="dotted"/>
        </w:rPr>
        <w:t xml:space="preserve">                                      </w:t>
      </w:r>
    </w:p>
    <w:p>
      <w:pPr>
        <w:spacing w:line="440" w:lineRule="exact"/>
        <w:ind w:firstLine="480" w:firstLineChars="200"/>
        <w:jc w:val="left"/>
        <w:rPr>
          <w:rFonts w:ascii="宋体" w:hAnsi="宋体" w:cs="仿宋"/>
          <w:sz w:val="24"/>
        </w:rPr>
      </w:pPr>
      <w:r>
        <w:rPr>
          <w:rFonts w:hint="eastAsia" w:ascii="宋体" w:hAnsi="宋体" w:cs="仿宋"/>
          <w:sz w:val="24"/>
        </w:rPr>
        <w:t>质疑项目的编号：</w:t>
      </w:r>
      <w:r>
        <w:rPr>
          <w:rFonts w:hint="eastAsia" w:ascii="宋体" w:hAnsi="宋体" w:cs="仿宋"/>
          <w:sz w:val="24"/>
          <w:u w:val="dotted"/>
        </w:rPr>
        <w:t xml:space="preserve">               </w:t>
      </w:r>
      <w:r>
        <w:rPr>
          <w:rFonts w:hint="eastAsia" w:ascii="宋体" w:hAnsi="宋体" w:cs="仿宋"/>
          <w:sz w:val="24"/>
        </w:rPr>
        <w:t>包号：</w:t>
      </w:r>
      <w:r>
        <w:rPr>
          <w:rFonts w:hint="eastAsia" w:ascii="宋体" w:hAnsi="宋体" w:cs="仿宋"/>
          <w:sz w:val="24"/>
          <w:u w:val="dotted"/>
        </w:rPr>
        <w:t xml:space="preserve">                 </w:t>
      </w:r>
    </w:p>
    <w:p>
      <w:pPr>
        <w:spacing w:line="440" w:lineRule="exact"/>
        <w:ind w:firstLine="480" w:firstLineChars="200"/>
        <w:jc w:val="left"/>
        <w:rPr>
          <w:rFonts w:ascii="宋体" w:hAnsi="宋体" w:cs="仿宋"/>
          <w:sz w:val="24"/>
          <w:u w:val="dotted"/>
        </w:rPr>
      </w:pPr>
      <w:r>
        <w:rPr>
          <w:rFonts w:hint="eastAsia" w:ascii="宋体" w:hAnsi="宋体" w:cs="仿宋"/>
          <w:sz w:val="24"/>
        </w:rPr>
        <w:t>采购人名称：</w:t>
      </w:r>
      <w:r>
        <w:rPr>
          <w:rFonts w:hint="eastAsia" w:ascii="宋体" w:hAnsi="宋体" w:cs="仿宋"/>
          <w:sz w:val="24"/>
          <w:u w:val="dotted"/>
        </w:rPr>
        <w:t xml:space="preserve">                                         </w:t>
      </w:r>
    </w:p>
    <w:p>
      <w:pPr>
        <w:spacing w:line="440" w:lineRule="exact"/>
        <w:ind w:firstLine="480" w:firstLineChars="200"/>
        <w:jc w:val="left"/>
        <w:rPr>
          <w:rFonts w:ascii="宋体" w:hAnsi="宋体" w:cs="仿宋"/>
          <w:sz w:val="24"/>
        </w:rPr>
      </w:pPr>
      <w:r>
        <w:rPr>
          <w:rFonts w:hint="eastAsia" w:ascii="宋体" w:hAnsi="宋体" w:cs="仿宋"/>
          <w:sz w:val="24"/>
        </w:rPr>
        <w:t>采购文件获取日期：</w:t>
      </w:r>
      <w:r>
        <w:rPr>
          <w:rFonts w:hint="eastAsia" w:ascii="宋体" w:hAnsi="宋体" w:cs="仿宋"/>
          <w:sz w:val="24"/>
          <w:u w:val="dotted"/>
        </w:rPr>
        <w:t xml:space="preserve">                                           </w:t>
      </w:r>
    </w:p>
    <w:p>
      <w:pPr>
        <w:spacing w:line="440" w:lineRule="exact"/>
        <w:ind w:firstLine="480" w:firstLineChars="200"/>
        <w:jc w:val="left"/>
        <w:rPr>
          <w:rFonts w:ascii="宋体" w:hAnsi="宋体" w:cs="仿宋"/>
          <w:bCs/>
          <w:sz w:val="24"/>
        </w:rPr>
      </w:pPr>
      <w:r>
        <w:rPr>
          <w:rFonts w:hint="eastAsia" w:ascii="宋体" w:hAnsi="宋体" w:cs="仿宋"/>
          <w:bCs/>
          <w:sz w:val="24"/>
        </w:rPr>
        <w:t>三、质疑事项具体内容</w:t>
      </w:r>
    </w:p>
    <w:p>
      <w:pPr>
        <w:spacing w:line="440" w:lineRule="exact"/>
        <w:ind w:firstLine="480" w:firstLineChars="200"/>
        <w:jc w:val="left"/>
        <w:rPr>
          <w:rFonts w:ascii="宋体" w:hAnsi="宋体" w:cs="仿宋"/>
          <w:sz w:val="24"/>
          <w:u w:val="dotted"/>
        </w:rPr>
      </w:pPr>
      <w:r>
        <w:rPr>
          <w:rFonts w:hint="eastAsia" w:ascii="宋体" w:hAnsi="宋体" w:cs="仿宋"/>
          <w:sz w:val="24"/>
        </w:rPr>
        <w:t>质疑事项1：</w:t>
      </w:r>
      <w:r>
        <w:rPr>
          <w:rFonts w:hint="eastAsia" w:ascii="宋体" w:hAnsi="宋体" w:cs="仿宋"/>
          <w:sz w:val="24"/>
          <w:u w:val="dotted"/>
        </w:rPr>
        <w:t xml:space="preserve">                                         </w:t>
      </w:r>
    </w:p>
    <w:p>
      <w:pPr>
        <w:spacing w:line="440" w:lineRule="exact"/>
        <w:ind w:firstLine="480" w:firstLineChars="200"/>
        <w:jc w:val="left"/>
        <w:rPr>
          <w:rFonts w:ascii="宋体" w:hAnsi="宋体" w:cs="仿宋"/>
          <w:sz w:val="24"/>
          <w:u w:val="dotted"/>
        </w:rPr>
      </w:pPr>
      <w:r>
        <w:rPr>
          <w:rFonts w:hint="eastAsia" w:ascii="宋体" w:hAnsi="宋体" w:cs="仿宋"/>
          <w:sz w:val="24"/>
        </w:rPr>
        <w:t>事实依据：</w:t>
      </w:r>
      <w:r>
        <w:rPr>
          <w:rFonts w:hint="eastAsia" w:ascii="宋体" w:hAnsi="宋体" w:cs="仿宋"/>
          <w:sz w:val="24"/>
          <w:u w:val="dotted"/>
        </w:rPr>
        <w:t xml:space="preserve">                                          </w:t>
      </w:r>
    </w:p>
    <w:p>
      <w:pPr>
        <w:spacing w:line="440" w:lineRule="exact"/>
        <w:ind w:firstLine="480" w:firstLineChars="200"/>
        <w:jc w:val="left"/>
        <w:rPr>
          <w:rFonts w:ascii="宋体" w:hAnsi="宋体" w:cs="仿宋"/>
          <w:sz w:val="24"/>
        </w:rPr>
      </w:pPr>
      <w:r>
        <w:rPr>
          <w:rFonts w:hint="eastAsia" w:ascii="宋体" w:hAnsi="宋体" w:cs="仿宋"/>
          <w:sz w:val="24"/>
          <w:u w:val="dotted"/>
        </w:rPr>
        <w:t xml:space="preserve">                                                       </w:t>
      </w:r>
    </w:p>
    <w:p>
      <w:pPr>
        <w:spacing w:line="440" w:lineRule="exact"/>
        <w:ind w:firstLine="480" w:firstLineChars="200"/>
        <w:jc w:val="left"/>
        <w:rPr>
          <w:rFonts w:ascii="宋体" w:hAnsi="宋体" w:cs="仿宋"/>
          <w:sz w:val="24"/>
          <w:u w:val="dotted"/>
        </w:rPr>
      </w:pPr>
      <w:r>
        <w:rPr>
          <w:rFonts w:hint="eastAsia" w:ascii="宋体" w:hAnsi="宋体" w:cs="仿宋"/>
          <w:sz w:val="24"/>
        </w:rPr>
        <w:t>法律依据：</w:t>
      </w:r>
      <w:r>
        <w:rPr>
          <w:rFonts w:hint="eastAsia" w:ascii="宋体" w:hAnsi="宋体" w:cs="仿宋"/>
          <w:sz w:val="24"/>
          <w:u w:val="dotted"/>
        </w:rPr>
        <w:t xml:space="preserve">                                          </w:t>
      </w:r>
    </w:p>
    <w:p>
      <w:pPr>
        <w:spacing w:line="440" w:lineRule="exact"/>
        <w:ind w:firstLine="480" w:firstLineChars="200"/>
        <w:jc w:val="left"/>
        <w:rPr>
          <w:rFonts w:ascii="宋体" w:hAnsi="宋体" w:cs="仿宋"/>
          <w:sz w:val="24"/>
          <w:u w:val="dotted"/>
        </w:rPr>
      </w:pPr>
      <w:r>
        <w:rPr>
          <w:rFonts w:hint="eastAsia" w:ascii="宋体" w:hAnsi="宋体" w:cs="仿宋"/>
          <w:sz w:val="24"/>
          <w:u w:val="dotted"/>
        </w:rPr>
        <w:t xml:space="preserve">                                                     </w:t>
      </w:r>
    </w:p>
    <w:p>
      <w:pPr>
        <w:spacing w:line="440" w:lineRule="exact"/>
        <w:ind w:firstLine="480" w:firstLineChars="200"/>
        <w:jc w:val="left"/>
        <w:rPr>
          <w:rFonts w:ascii="宋体" w:hAnsi="宋体" w:cs="仿宋"/>
          <w:sz w:val="24"/>
          <w:u w:val="dotted"/>
        </w:rPr>
      </w:pPr>
      <w:r>
        <w:rPr>
          <w:rFonts w:hint="eastAsia" w:ascii="宋体" w:hAnsi="宋体" w:cs="仿宋"/>
          <w:sz w:val="24"/>
        </w:rPr>
        <w:t>质疑事项2</w:t>
      </w:r>
    </w:p>
    <w:p>
      <w:pPr>
        <w:spacing w:line="440" w:lineRule="exact"/>
        <w:ind w:firstLine="480" w:firstLineChars="200"/>
        <w:jc w:val="left"/>
        <w:rPr>
          <w:rFonts w:ascii="宋体" w:hAnsi="宋体" w:cs="仿宋"/>
          <w:sz w:val="24"/>
        </w:rPr>
      </w:pPr>
      <w:r>
        <w:rPr>
          <w:rFonts w:hint="eastAsia" w:ascii="宋体" w:hAnsi="宋体" w:cs="仿宋"/>
          <w:sz w:val="24"/>
        </w:rPr>
        <w:t>……</w:t>
      </w:r>
    </w:p>
    <w:p>
      <w:pPr>
        <w:spacing w:line="440" w:lineRule="exact"/>
        <w:ind w:firstLine="480" w:firstLineChars="200"/>
        <w:jc w:val="left"/>
        <w:rPr>
          <w:rFonts w:ascii="宋体" w:hAnsi="宋体" w:cs="仿宋"/>
          <w:bCs/>
          <w:sz w:val="24"/>
        </w:rPr>
      </w:pPr>
      <w:r>
        <w:rPr>
          <w:rFonts w:hint="eastAsia" w:ascii="宋体" w:hAnsi="宋体" w:cs="仿宋"/>
          <w:bCs/>
          <w:sz w:val="24"/>
        </w:rPr>
        <w:t>四、与质疑事项相关的质疑请求</w:t>
      </w:r>
    </w:p>
    <w:p>
      <w:pPr>
        <w:spacing w:line="440" w:lineRule="exact"/>
        <w:ind w:firstLine="480" w:firstLineChars="200"/>
        <w:jc w:val="left"/>
        <w:rPr>
          <w:rFonts w:ascii="宋体" w:hAnsi="宋体" w:cs="仿宋"/>
          <w:sz w:val="24"/>
          <w:u w:val="dotted"/>
        </w:rPr>
      </w:pPr>
      <w:r>
        <w:rPr>
          <w:rFonts w:hint="eastAsia" w:ascii="宋体" w:hAnsi="宋体" w:cs="仿宋"/>
          <w:sz w:val="24"/>
        </w:rPr>
        <w:t>请求：</w:t>
      </w:r>
      <w:r>
        <w:rPr>
          <w:rFonts w:hint="eastAsia" w:ascii="宋体" w:hAnsi="宋体" w:cs="仿宋"/>
          <w:sz w:val="24"/>
          <w:u w:val="dotted"/>
        </w:rPr>
        <w:t xml:space="preserve">                                               </w:t>
      </w:r>
    </w:p>
    <w:p>
      <w:pPr>
        <w:spacing w:line="440" w:lineRule="exact"/>
        <w:ind w:firstLine="480" w:firstLineChars="200"/>
        <w:jc w:val="left"/>
        <w:rPr>
          <w:rFonts w:ascii="宋体" w:hAnsi="宋体"/>
          <w:sz w:val="24"/>
        </w:rPr>
      </w:pPr>
      <w:r>
        <w:rPr>
          <w:rFonts w:hint="eastAsia" w:ascii="宋体" w:hAnsi="宋体"/>
          <w:sz w:val="24"/>
        </w:rPr>
        <w:t xml:space="preserve">签字（签章）：                   公章：                      </w:t>
      </w:r>
    </w:p>
    <w:p>
      <w:pPr>
        <w:spacing w:line="440" w:lineRule="exact"/>
        <w:ind w:firstLine="480" w:firstLineChars="200"/>
        <w:jc w:val="left"/>
        <w:rPr>
          <w:rFonts w:ascii="宋体" w:hAnsi="宋体"/>
          <w:sz w:val="24"/>
        </w:rPr>
      </w:pPr>
      <w:r>
        <w:rPr>
          <w:rFonts w:hint="eastAsia" w:ascii="宋体" w:hAnsi="宋体"/>
          <w:sz w:val="24"/>
        </w:rPr>
        <w:t xml:space="preserve">日期：    </w:t>
      </w:r>
    </w:p>
    <w:p>
      <w:pPr>
        <w:spacing w:line="440" w:lineRule="exact"/>
        <w:ind w:firstLine="480" w:firstLineChars="200"/>
        <w:jc w:val="left"/>
        <w:rPr>
          <w:rFonts w:ascii="宋体" w:hAnsi="宋体" w:cs="仿宋"/>
          <w:sz w:val="24"/>
        </w:rPr>
      </w:pPr>
    </w:p>
    <w:p>
      <w:pPr>
        <w:spacing w:line="440" w:lineRule="exact"/>
        <w:ind w:firstLine="482" w:firstLineChars="200"/>
        <w:jc w:val="left"/>
        <w:rPr>
          <w:rFonts w:ascii="宋体" w:hAnsi="宋体"/>
          <w:b/>
          <w:sz w:val="24"/>
        </w:rPr>
      </w:pPr>
      <w:r>
        <w:rPr>
          <w:rFonts w:hint="eastAsia" w:ascii="宋体" w:hAnsi="宋体"/>
          <w:b/>
          <w:sz w:val="24"/>
        </w:rPr>
        <w:t>质疑函制作说明：</w:t>
      </w:r>
    </w:p>
    <w:p>
      <w:pPr>
        <w:widowControl/>
        <w:spacing w:line="440" w:lineRule="exact"/>
        <w:ind w:firstLine="480" w:firstLineChars="200"/>
        <w:jc w:val="left"/>
        <w:rPr>
          <w:rFonts w:ascii="宋体" w:hAnsi="宋体"/>
          <w:sz w:val="24"/>
        </w:rPr>
      </w:pPr>
      <w:r>
        <w:rPr>
          <w:rFonts w:hint="eastAsia" w:ascii="宋体" w:hAnsi="宋体"/>
          <w:sz w:val="24"/>
        </w:rPr>
        <w:t>1.供应商提出质疑时，应提交质疑函和必要的证明材料。</w:t>
      </w:r>
    </w:p>
    <w:p>
      <w:pPr>
        <w:widowControl/>
        <w:spacing w:line="440" w:lineRule="exact"/>
        <w:ind w:firstLine="480" w:firstLineChars="200"/>
        <w:jc w:val="left"/>
        <w:rPr>
          <w:rFonts w:ascii="宋体" w:hAnsi="宋体"/>
          <w:sz w:val="24"/>
        </w:rPr>
      </w:pPr>
      <w:r>
        <w:rPr>
          <w:rFonts w:hint="eastAsia" w:ascii="宋体" w:hAnsi="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440" w:lineRule="exact"/>
        <w:ind w:firstLine="480" w:firstLineChars="200"/>
        <w:jc w:val="left"/>
        <w:rPr>
          <w:rFonts w:ascii="宋体" w:hAnsi="宋体"/>
          <w:sz w:val="24"/>
        </w:rPr>
      </w:pPr>
      <w:r>
        <w:rPr>
          <w:rFonts w:hint="eastAsia" w:ascii="宋体" w:hAnsi="宋体"/>
          <w:sz w:val="24"/>
        </w:rPr>
        <w:t>3.质疑供应商若对项目的某一分包进行质疑，质疑函中应列明具体分包号。</w:t>
      </w:r>
    </w:p>
    <w:p>
      <w:pPr>
        <w:widowControl/>
        <w:spacing w:line="440" w:lineRule="exact"/>
        <w:ind w:firstLine="480" w:firstLineChars="200"/>
        <w:jc w:val="left"/>
        <w:rPr>
          <w:rFonts w:ascii="宋体" w:hAnsi="宋体"/>
          <w:sz w:val="24"/>
        </w:rPr>
      </w:pPr>
      <w:r>
        <w:rPr>
          <w:rFonts w:hint="eastAsia" w:ascii="宋体" w:hAnsi="宋体"/>
          <w:sz w:val="24"/>
        </w:rPr>
        <w:t>4.质疑函的质疑事项应具体、明确，并有必要的事实依据和法律依据。</w:t>
      </w:r>
    </w:p>
    <w:p>
      <w:pPr>
        <w:widowControl/>
        <w:spacing w:line="440" w:lineRule="exact"/>
        <w:ind w:firstLine="480" w:firstLineChars="200"/>
        <w:jc w:val="left"/>
        <w:rPr>
          <w:rFonts w:ascii="宋体" w:hAnsi="宋体"/>
          <w:sz w:val="24"/>
        </w:rPr>
      </w:pPr>
      <w:r>
        <w:rPr>
          <w:rFonts w:hint="eastAsia" w:ascii="宋体" w:hAnsi="宋体"/>
          <w:sz w:val="24"/>
        </w:rPr>
        <w:t>5.质疑函的质疑请求应与质疑事项相关。</w:t>
      </w:r>
    </w:p>
    <w:p>
      <w:pPr>
        <w:widowControl/>
        <w:spacing w:line="440" w:lineRule="exact"/>
        <w:ind w:firstLine="480" w:firstLineChars="200"/>
        <w:jc w:val="left"/>
        <w:rPr>
          <w:rFonts w:ascii="宋体" w:hAnsi="宋体"/>
          <w:sz w:val="24"/>
        </w:rPr>
      </w:pPr>
      <w:r>
        <w:rPr>
          <w:rFonts w:hint="eastAsia" w:ascii="宋体" w:hAnsi="宋体"/>
          <w:sz w:val="24"/>
        </w:rPr>
        <w:t>6.质疑供应商为自然人的，质疑函应由本人签字；质疑供应商为法人或者其他组织的，质疑函应由法定代表人、主要负责人，或者其授权代表签字或者盖章，并加盖公章。</w:t>
      </w:r>
    </w:p>
    <w:p>
      <w:pPr>
        <w:spacing w:line="360" w:lineRule="auto"/>
        <w:ind w:firstLine="420" w:firstLineChars="200"/>
        <w:jc w:val="right"/>
        <w:rPr>
          <w:szCs w:val="21"/>
        </w:rPr>
      </w:pPr>
    </w:p>
    <w:p>
      <w:pPr>
        <w:pStyle w:val="114"/>
        <w:spacing w:line="440" w:lineRule="exact"/>
        <w:ind w:firstLine="0" w:firstLineChars="0"/>
        <w:rPr>
          <w:rFonts w:ascii="Time New Roma" w:hAnsi="Time New Roma" w:eastAsia="宋体"/>
          <w:sz w:val="24"/>
        </w:rPr>
      </w:pPr>
    </w:p>
    <w:sectPr>
      <w:headerReference r:id="rId6" w:type="first"/>
      <w:headerReference r:id="rId5" w:type="default"/>
      <w:footerReference r:id="rId7"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inotype Univers 330 Light">
    <w:altName w:val="Segoe Print"/>
    <w:panose1 w:val="00000000000000000000"/>
    <w:charset w:val="00"/>
    <w:family w:val="auto"/>
    <w:pitch w:val="default"/>
    <w:sig w:usb0="00000000" w:usb1="00000000" w:usb2="00000000" w:usb3="00000000" w:csb0="0000009B"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 New Roma">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kern w:val="0"/>
      </w:rPr>
    </w:pPr>
    <w:r>
      <w:rPr>
        <w:rFonts w:ascii="Time New Roma" w:hAnsi="Time New Roma"/>
        <w:b/>
      </w:rPr>
      <w:drawing>
        <wp:inline distT="0" distB="0" distL="0" distR="0">
          <wp:extent cx="203200" cy="177800"/>
          <wp:effectExtent l="0" t="0" r="6350" b="0"/>
          <wp:docPr id="3" name="图片 3" descr="dedb88ffba812d0bb92d8c3d44a650a"/>
          <wp:cNvGraphicFramePr/>
          <a:graphic xmlns:a="http://schemas.openxmlformats.org/drawingml/2006/main">
            <a:graphicData uri="http://schemas.openxmlformats.org/drawingml/2006/picture">
              <pic:pic xmlns:pic="http://schemas.openxmlformats.org/drawingml/2006/picture">
                <pic:nvPicPr>
                  <pic:cNvPr id="3" name="图片 3" descr="dedb88ffba812d0bb92d8c3d44a650a"/>
                  <pic:cNvPicPr/>
                </pic:nvPicPr>
                <pic:blipFill>
                  <a:blip r:embed="rId1" cstate="print"/>
                  <a:srcRect/>
                  <a:stretch>
                    <a:fillRect/>
                  </a:stretch>
                </pic:blipFill>
                <pic:spPr>
                  <a:xfrm>
                    <a:off x="0" y="0"/>
                    <a:ext cx="203200" cy="177800"/>
                  </a:xfrm>
                  <a:prstGeom prst="rect">
                    <a:avLst/>
                  </a:prstGeom>
                  <a:ln>
                    <a:noFill/>
                  </a:ln>
                </pic:spPr>
              </pic:pic>
            </a:graphicData>
          </a:graphic>
        </wp:inline>
      </w:drawing>
    </w:r>
    <w:r>
      <w:rPr>
        <w:rFonts w:hint="eastAsia"/>
      </w:rPr>
      <w:t>http://www.zhongyuanzb.com/</w:t>
    </w:r>
    <w:r>
      <w:rPr>
        <w:rFonts w:hint="eastAsia"/>
        <w:kern w:val="0"/>
      </w:rPr>
      <w:t xml:space="preserve">          第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rFonts w:hint="eastAsia"/>
        <w:kern w:val="0"/>
      </w:rPr>
      <w:t xml:space="preserve"> 页          </w:t>
    </w:r>
    <w:r>
      <w:rPr>
        <w:rFonts w:hint="eastAsia"/>
      </w:rPr>
      <w:t>广东中元招标代理有限公司编制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distribute"/>
      <w:rPr>
        <w:kern w:val="0"/>
      </w:rPr>
    </w:pPr>
    <w:r>
      <w:rPr>
        <w:rFonts w:ascii="Time New Roma" w:hAnsi="Time New Roma"/>
        <w:b/>
      </w:rPr>
      <w:drawing>
        <wp:inline distT="0" distB="0" distL="0" distR="0">
          <wp:extent cx="234315" cy="1536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4315" cy="153670"/>
                  </a:xfrm>
                  <a:prstGeom prst="rect">
                    <a:avLst/>
                  </a:prstGeom>
                  <a:noFill/>
                  <a:ln>
                    <a:noFill/>
                  </a:ln>
                </pic:spPr>
              </pic:pic>
            </a:graphicData>
          </a:graphic>
        </wp:inline>
      </w:drawing>
    </w:r>
    <w:r>
      <w:rPr>
        <w:rFonts w:hint="eastAsia"/>
      </w:rPr>
      <w:t>http://</w:t>
    </w:r>
    <w:r>
      <w:t xml:space="preserve"> www.zhongyuanzb.com</w:t>
    </w:r>
    <w:r>
      <w:rPr>
        <w:rFonts w:hint="eastAsia"/>
        <w:kern w:val="0"/>
      </w:rPr>
      <w:t xml:space="preserve">           第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rFonts w:hint="eastAsia"/>
        <w:kern w:val="0"/>
      </w:rPr>
      <w:t xml:space="preserve"> 页          </w:t>
    </w:r>
    <w:r>
      <w:rPr>
        <w:rFonts w:hint="eastAsia"/>
      </w:rPr>
      <w:t>广东中元招标代理有限公司编制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wordWrap w:val="0"/>
      <w:jc w:val="left"/>
      <w:rPr>
        <w:bCs/>
      </w:rPr>
    </w:pPr>
    <w:r>
      <w:rPr>
        <w:rFonts w:hint="eastAsia"/>
        <w:bCs/>
      </w:rPr>
      <w:t>项目名称：东莞市厚街医院信息系统及配套设备采购项目         采购编号：</w:t>
    </w:r>
    <w:r>
      <w:rPr>
        <w:bCs/>
      </w:rPr>
      <w:t>ZYDG-20-191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rPr>
      <w:t>项目名称：民政资金发放与监管信息平台服务项目</w:t>
    </w:r>
  </w:p>
  <w:p>
    <w:pPr>
      <w:pStyle w:val="30"/>
      <w:jc w:val="left"/>
    </w:pPr>
    <w:r>
      <w:rPr>
        <w:rFonts w:hint="eastAsia"/>
      </w:rPr>
      <w:t>采购编号：</w:t>
    </w:r>
    <w:r>
      <w:t>ZYDG-24-134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东莞市防雷减灾管理中心防雷装置设计及检测服务采购项目招标文件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tabs>
          <w:tab w:val="left" w:pos="1560"/>
        </w:tabs>
        <w:ind w:left="1560" w:hanging="72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00000004"/>
    <w:multiLevelType w:val="multilevel"/>
    <w:tmpl w:val="00000004"/>
    <w:lvl w:ilvl="0" w:tentative="0">
      <w:start w:val="1"/>
      <w:numFmt w:val="decimalEnclosedCircle"/>
      <w:pStyle w:val="191"/>
      <w:lvlText w:val="%1"/>
      <w:lvlJc w:val="left"/>
      <w:pPr>
        <w:ind w:left="920" w:hanging="360"/>
      </w:pPr>
      <w:rPr>
        <w:rFonts w:hint="default" w:hAnsi="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5"/>
    <w:multiLevelType w:val="multilevel"/>
    <w:tmpl w:val="00000005"/>
    <w:lvl w:ilvl="0" w:tentative="0">
      <w:start w:val="1"/>
      <w:numFmt w:val="decimal"/>
      <w:pStyle w:val="18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00000006"/>
    <w:multiLevelType w:val="multilevel"/>
    <w:tmpl w:val="00000006"/>
    <w:lvl w:ilvl="0" w:tentative="0">
      <w:start w:val="1"/>
      <w:numFmt w:val="decimal"/>
      <w:pStyle w:val="223"/>
      <w:lvlText w:val="%1、"/>
      <w:lvlJc w:val="left"/>
      <w:pPr>
        <w:ind w:left="502" w:hanging="360"/>
      </w:pPr>
      <w:rPr>
        <w:rFonts w:hint="default"/>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00000007"/>
    <w:multiLevelType w:val="multilevel"/>
    <w:tmpl w:val="00000007"/>
    <w:lvl w:ilvl="0" w:tentative="0">
      <w:start w:val="1"/>
      <w:numFmt w:val="bullet"/>
      <w:pStyle w:val="179"/>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9"/>
    <w:multiLevelType w:val="multilevel"/>
    <w:tmpl w:val="00000009"/>
    <w:lvl w:ilvl="0" w:tentative="0">
      <w:start w:val="1"/>
      <w:numFmt w:val="decimal"/>
      <w:pStyle w:val="149"/>
      <w:isLgl/>
      <w:lvlText w:val="%1"/>
      <w:lvlJc w:val="left"/>
      <w:pPr>
        <w:tabs>
          <w:tab w:val="left" w:pos="1205"/>
        </w:tabs>
        <w:ind w:left="1205" w:hanging="425"/>
      </w:pPr>
      <w:rPr>
        <w:rFonts w:hint="eastAsia"/>
      </w:rPr>
    </w:lvl>
    <w:lvl w:ilvl="1" w:tentative="0">
      <w:start w:val="1"/>
      <w:numFmt w:val="decimal"/>
      <w:isLgl/>
      <w:lvlText w:val="%1.%2"/>
      <w:lvlJc w:val="left"/>
      <w:pPr>
        <w:tabs>
          <w:tab w:val="left" w:pos="1772"/>
        </w:tabs>
        <w:ind w:left="1772" w:hanging="567"/>
      </w:pPr>
      <w:rPr>
        <w:rFonts w:hint="eastAsia"/>
      </w:rPr>
    </w:lvl>
    <w:lvl w:ilvl="2" w:tentative="0">
      <w:start w:val="1"/>
      <w:numFmt w:val="decimal"/>
      <w:lvlText w:val="%1.%2.%3"/>
      <w:lvlJc w:val="left"/>
      <w:pPr>
        <w:tabs>
          <w:tab w:val="left" w:pos="2198"/>
        </w:tabs>
        <w:ind w:left="2198" w:hanging="567"/>
      </w:pPr>
      <w:rPr>
        <w:rFonts w:hint="eastAsia"/>
      </w:rPr>
    </w:lvl>
    <w:lvl w:ilvl="3" w:tentative="0">
      <w:start w:val="1"/>
      <w:numFmt w:val="decimal"/>
      <w:lvlText w:val="%1.%2.%3.%4"/>
      <w:lvlJc w:val="left"/>
      <w:pPr>
        <w:tabs>
          <w:tab w:val="left" w:pos="2764"/>
        </w:tabs>
        <w:ind w:left="2764" w:hanging="708"/>
      </w:pPr>
      <w:rPr>
        <w:rFonts w:hint="eastAsia"/>
      </w:rPr>
    </w:lvl>
    <w:lvl w:ilvl="4" w:tentative="0">
      <w:start w:val="1"/>
      <w:numFmt w:val="decimal"/>
      <w:lvlText w:val="%1.%2.%3.%4.%5"/>
      <w:lvlJc w:val="left"/>
      <w:pPr>
        <w:tabs>
          <w:tab w:val="left" w:pos="3331"/>
        </w:tabs>
        <w:ind w:left="3331" w:hanging="850"/>
      </w:pPr>
      <w:rPr>
        <w:rFonts w:hint="eastAsia"/>
      </w:rPr>
    </w:lvl>
    <w:lvl w:ilvl="5" w:tentative="0">
      <w:start w:val="1"/>
      <w:numFmt w:val="decimal"/>
      <w:lvlText w:val="%1.%2.%3.%4.%5.%6"/>
      <w:lvlJc w:val="left"/>
      <w:pPr>
        <w:tabs>
          <w:tab w:val="left" w:pos="4040"/>
        </w:tabs>
        <w:ind w:left="4040" w:hanging="1134"/>
      </w:pPr>
      <w:rPr>
        <w:rFonts w:hint="eastAsia"/>
      </w:rPr>
    </w:lvl>
    <w:lvl w:ilvl="6" w:tentative="0">
      <w:start w:val="1"/>
      <w:numFmt w:val="decimal"/>
      <w:lvlText w:val="%1.%2.%3.%4.%5.%6.%7"/>
      <w:lvlJc w:val="left"/>
      <w:pPr>
        <w:tabs>
          <w:tab w:val="left" w:pos="4607"/>
        </w:tabs>
        <w:ind w:left="4607" w:hanging="1276"/>
      </w:pPr>
      <w:rPr>
        <w:rFonts w:hint="eastAsia"/>
      </w:rPr>
    </w:lvl>
    <w:lvl w:ilvl="7" w:tentative="0">
      <w:start w:val="1"/>
      <w:numFmt w:val="decimal"/>
      <w:lvlText w:val="%1.%2.%3.%4.%5.%6.%7.%8"/>
      <w:lvlJc w:val="left"/>
      <w:pPr>
        <w:tabs>
          <w:tab w:val="left" w:pos="5174"/>
        </w:tabs>
        <w:ind w:left="5174" w:hanging="1418"/>
      </w:pPr>
      <w:rPr>
        <w:rFonts w:hint="eastAsia"/>
      </w:rPr>
    </w:lvl>
    <w:lvl w:ilvl="8" w:tentative="0">
      <w:start w:val="1"/>
      <w:numFmt w:val="decimal"/>
      <w:lvlText w:val="%1.%2.%3.%4.%5.%6.%7.%8.%9"/>
      <w:lvlJc w:val="left"/>
      <w:pPr>
        <w:tabs>
          <w:tab w:val="left" w:pos="5882"/>
        </w:tabs>
        <w:ind w:left="5882" w:hanging="1700"/>
      </w:pPr>
      <w:rPr>
        <w:rFonts w:hint="eastAsia"/>
      </w:rPr>
    </w:lvl>
  </w:abstractNum>
  <w:abstractNum w:abstractNumId="6">
    <w:nsid w:val="0000000A"/>
    <w:multiLevelType w:val="multilevel"/>
    <w:tmpl w:val="0000000A"/>
    <w:lvl w:ilvl="0" w:tentative="0">
      <w:start w:val="1"/>
      <w:numFmt w:val="decimal"/>
      <w:lvlText w:val="%1、"/>
      <w:lvlJc w:val="left"/>
      <w:pPr>
        <w:tabs>
          <w:tab w:val="left" w:pos="420"/>
        </w:tabs>
        <w:ind w:left="839" w:hanging="419"/>
      </w:pPr>
      <w:rPr>
        <w:rFonts w:hint="eastAsia" w:ascii="Times New Roman"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D"/>
    <w:multiLevelType w:val="multilevel"/>
    <w:tmpl w:val="0000000D"/>
    <w:lvl w:ilvl="0" w:tentative="0">
      <w:start w:val="1"/>
      <w:numFmt w:val="decimalEnclosedCircle"/>
      <w:pStyle w:val="197"/>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0E"/>
    <w:multiLevelType w:val="multilevel"/>
    <w:tmpl w:val="0000000E"/>
    <w:lvl w:ilvl="0" w:tentative="0">
      <w:start w:val="1"/>
      <w:numFmt w:val="decimal"/>
      <w:lvlText w:val="%1."/>
      <w:lvlJc w:val="left"/>
      <w:pPr>
        <w:tabs>
          <w:tab w:val="left" w:pos="1049"/>
        </w:tabs>
        <w:ind w:left="1049" w:hanging="907"/>
      </w:pPr>
      <w:rPr>
        <w:rFonts w:hint="eastAsia" w:ascii="仿宋" w:hAnsi="仿宋" w:eastAsia="仿宋"/>
        <w:b/>
      </w:rPr>
    </w:lvl>
    <w:lvl w:ilvl="1" w:tentative="0">
      <w:start w:val="1"/>
      <w:numFmt w:val="decimal"/>
      <w:pStyle w:val="215"/>
      <w:lvlText w:val="%1.%2."/>
      <w:lvlJc w:val="left"/>
      <w:pPr>
        <w:tabs>
          <w:tab w:val="left" w:pos="2558"/>
        </w:tabs>
        <w:ind w:left="2558" w:hanging="907"/>
      </w:pPr>
      <w:rPr>
        <w:rFonts w:hint="default" w:ascii="Times New Roman" w:hAnsi="Times New Roman" w:eastAsia="仿宋" w:cs="Times New Roman"/>
        <w:b w:val="0"/>
        <w:color w:val="000000"/>
        <w:sz w:val="24"/>
        <w:szCs w:val="24"/>
      </w:rPr>
    </w:lvl>
    <w:lvl w:ilvl="2" w:tentative="0">
      <w:start w:val="1"/>
      <w:numFmt w:val="decimal"/>
      <w:lvlText w:val="%1.%2.%3."/>
      <w:lvlJc w:val="left"/>
      <w:pPr>
        <w:tabs>
          <w:tab w:val="left" w:pos="1759"/>
        </w:tabs>
        <w:ind w:left="1759" w:hanging="907"/>
      </w:pPr>
      <w:rPr>
        <w:rFonts w:hint="default" w:ascii="Times New Roman" w:hAnsi="Times New Roman" w:eastAsia="宋体" w:cs="Times New Roman"/>
        <w:b w:val="0"/>
      </w:rPr>
    </w:lvl>
    <w:lvl w:ilvl="3" w:tentative="0">
      <w:start w:val="1"/>
      <w:numFmt w:val="decimal"/>
      <w:lvlText w:val="%1.%2.%3.%4."/>
      <w:lvlJc w:val="left"/>
      <w:pPr>
        <w:tabs>
          <w:tab w:val="left" w:pos="1990"/>
        </w:tabs>
        <w:ind w:left="1990" w:hanging="907"/>
      </w:pPr>
      <w:rPr>
        <w:rFonts w:hint="eastAsia"/>
        <w:b w:val="0"/>
      </w:rPr>
    </w:lvl>
    <w:lvl w:ilvl="4" w:tentative="0">
      <w:start w:val="1"/>
      <w:numFmt w:val="decimal"/>
      <w:lvlText w:val="%1.%2.%3.%4.%5."/>
      <w:lvlJc w:val="left"/>
      <w:pPr>
        <w:tabs>
          <w:tab w:val="left" w:pos="2075"/>
        </w:tabs>
        <w:ind w:left="2075" w:hanging="992"/>
      </w:pPr>
      <w:rPr>
        <w:rFonts w:hint="eastAsia"/>
      </w:rPr>
    </w:lvl>
    <w:lvl w:ilvl="5" w:tentative="0">
      <w:start w:val="1"/>
      <w:numFmt w:val="decimal"/>
      <w:lvlText w:val="%1.%2.%3.%4.%5.%6."/>
      <w:lvlJc w:val="left"/>
      <w:pPr>
        <w:tabs>
          <w:tab w:val="left" w:pos="2217"/>
        </w:tabs>
        <w:ind w:left="2217" w:hanging="1134"/>
      </w:pPr>
      <w:rPr>
        <w:rFonts w:hint="eastAsia"/>
      </w:rPr>
    </w:lvl>
    <w:lvl w:ilvl="6" w:tentative="0">
      <w:start w:val="1"/>
      <w:numFmt w:val="decimal"/>
      <w:lvlText w:val="%1.%2.%3.%4.%5.%6.%7."/>
      <w:lvlJc w:val="left"/>
      <w:pPr>
        <w:tabs>
          <w:tab w:val="left" w:pos="2359"/>
        </w:tabs>
        <w:ind w:left="2359" w:hanging="1276"/>
      </w:pPr>
      <w:rPr>
        <w:rFonts w:hint="eastAsia"/>
      </w:rPr>
    </w:lvl>
    <w:lvl w:ilvl="7" w:tentative="0">
      <w:start w:val="1"/>
      <w:numFmt w:val="decimal"/>
      <w:lvlText w:val="%1.%2.%3.%4.%5.%6.%7.%8."/>
      <w:lvlJc w:val="left"/>
      <w:pPr>
        <w:tabs>
          <w:tab w:val="left" w:pos="2501"/>
        </w:tabs>
        <w:ind w:left="2501" w:hanging="1418"/>
      </w:pPr>
      <w:rPr>
        <w:rFonts w:hint="eastAsia"/>
      </w:rPr>
    </w:lvl>
    <w:lvl w:ilvl="8" w:tentative="0">
      <w:start w:val="1"/>
      <w:numFmt w:val="decimal"/>
      <w:lvlText w:val="%1.%2.%3.%4.%5.%6.%7.%8.%9."/>
      <w:lvlJc w:val="left"/>
      <w:pPr>
        <w:tabs>
          <w:tab w:val="left" w:pos="2642"/>
        </w:tabs>
        <w:ind w:left="2642" w:hanging="1559"/>
      </w:pPr>
      <w:rPr>
        <w:rFonts w:hint="eastAsia"/>
      </w:rPr>
    </w:lvl>
  </w:abstractNum>
  <w:abstractNum w:abstractNumId="9">
    <w:nsid w:val="00000010"/>
    <w:multiLevelType w:val="multilevel"/>
    <w:tmpl w:val="00000010"/>
    <w:lvl w:ilvl="0" w:tentative="0">
      <w:start w:val="1"/>
      <w:numFmt w:val="bullet"/>
      <w:pStyle w:val="211"/>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lvl>
    <w:lvl w:ilvl="2" w:tentative="0">
      <w:start w:val="1"/>
      <w:numFmt w:val="decimal"/>
      <w:suff w:val="nothing"/>
      <w:lvlText w:val="%1.%2.%3 "/>
      <w:lvlJc w:val="left"/>
      <w:pPr>
        <w:ind w:left="420" w:firstLine="0"/>
      </w:pPr>
    </w:lvl>
    <w:lvl w:ilvl="3" w:tentative="0">
      <w:start w:val="1"/>
      <w:numFmt w:val="decimal"/>
      <w:suff w:val="nothing"/>
      <w:lvlText w:val="%1.%2.%3.%4 "/>
      <w:lvlJc w:val="left"/>
      <w:pPr>
        <w:ind w:left="420" w:firstLine="0"/>
      </w:pPr>
    </w:lvl>
    <w:lvl w:ilvl="4" w:tentative="0">
      <w:start w:val="1"/>
      <w:numFmt w:val="decimal"/>
      <w:suff w:val="nothing"/>
      <w:lvlText w:val="%1.%2.%3.%4.%5 "/>
      <w:lvlJc w:val="left"/>
      <w:pPr>
        <w:ind w:left="420" w:firstLine="0"/>
      </w:pPr>
    </w:lvl>
    <w:lvl w:ilvl="5" w:tentative="0">
      <w:start w:val="1"/>
      <w:numFmt w:val="decimal"/>
      <w:suff w:val="nothing"/>
      <w:lvlText w:val="%1.%2.%3.%4.%5.%6 "/>
      <w:lvlJc w:val="left"/>
      <w:pPr>
        <w:ind w:left="420" w:firstLine="0"/>
      </w:pPr>
    </w:lvl>
    <w:lvl w:ilvl="6" w:tentative="0">
      <w:start w:val="1"/>
      <w:numFmt w:val="decimal"/>
      <w:suff w:val="nothing"/>
      <w:lvlText w:val="%7."/>
      <w:lvlJc w:val="left"/>
      <w:pPr>
        <w:ind w:left="420" w:firstLine="0"/>
      </w:pPr>
    </w:lvl>
    <w:lvl w:ilvl="7" w:tentative="0">
      <w:start w:val="1"/>
      <w:numFmt w:val="none"/>
      <w:suff w:val="nothing"/>
      <w:lvlText w:val=""/>
      <w:lvlJc w:val="left"/>
      <w:pPr>
        <w:ind w:left="420" w:firstLine="0"/>
      </w:pPr>
    </w:lvl>
    <w:lvl w:ilvl="8" w:tentative="0">
      <w:start w:val="1"/>
      <w:numFmt w:val="none"/>
      <w:suff w:val="nothing"/>
      <w:lvlText w:val=""/>
      <w:lvlJc w:val="left"/>
      <w:pPr>
        <w:ind w:left="420" w:firstLine="0"/>
      </w:pPr>
    </w:lvl>
  </w:abstractNum>
  <w:abstractNum w:abstractNumId="10">
    <w:nsid w:val="00000011"/>
    <w:multiLevelType w:val="multilevel"/>
    <w:tmpl w:val="00000011"/>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pStyle w:val="231"/>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00000012"/>
    <w:multiLevelType w:val="multilevel"/>
    <w:tmpl w:val="00000012"/>
    <w:lvl w:ilvl="0" w:tentative="0">
      <w:start w:val="1"/>
      <w:numFmt w:val="decimal"/>
      <w:pStyle w:val="206"/>
      <w:lvlText w:val="（%1）、"/>
      <w:lvlJc w:val="left"/>
      <w:pPr>
        <w:tabs>
          <w:tab w:val="left" w:pos="862"/>
        </w:tabs>
        <w:ind w:left="862" w:hanging="72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2">
    <w:nsid w:val="00000013"/>
    <w:multiLevelType w:val="multilevel"/>
    <w:tmpl w:val="00000013"/>
    <w:lvl w:ilvl="0" w:tentative="0">
      <w:start w:val="1"/>
      <w:numFmt w:val="bullet"/>
      <w:pStyle w:val="161"/>
      <w:lvlText w:val=""/>
      <w:lvlJc w:val="left"/>
      <w:pPr>
        <w:tabs>
          <w:tab w:val="left" w:pos="820"/>
        </w:tabs>
        <w:ind w:left="8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0000014"/>
    <w:multiLevelType w:val="singleLevel"/>
    <w:tmpl w:val="00000014"/>
    <w:lvl w:ilvl="0" w:tentative="0">
      <w:start w:val="1"/>
      <w:numFmt w:val="decimal"/>
      <w:pStyle w:val="166"/>
      <w:lvlText w:val="%1."/>
      <w:lvlJc w:val="left"/>
      <w:pPr>
        <w:ind w:left="425" w:hanging="425"/>
      </w:pPr>
      <w:rPr>
        <w:rFonts w:hint="default"/>
      </w:rPr>
    </w:lvl>
  </w:abstractNum>
  <w:abstractNum w:abstractNumId="14">
    <w:nsid w:val="00000017"/>
    <w:multiLevelType w:val="multilevel"/>
    <w:tmpl w:val="00000017"/>
    <w:lvl w:ilvl="0" w:tentative="0">
      <w:start w:val="1"/>
      <w:numFmt w:val="decimal"/>
      <w:pStyle w:val="233"/>
      <w:lvlText w:val="%1)."/>
      <w:lvlJc w:val="left"/>
      <w:pPr>
        <w:tabs>
          <w:tab w:val="left" w:pos="900"/>
        </w:tabs>
        <w:ind w:left="900" w:hanging="420"/>
      </w:pPr>
    </w:lvl>
    <w:lvl w:ilvl="1" w:tentative="0">
      <w:start w:val="4"/>
      <w:numFmt w:val="decimal"/>
      <w:lvlText w:val="（%2）"/>
      <w:lvlJc w:val="left"/>
      <w:pPr>
        <w:tabs>
          <w:tab w:val="left" w:pos="1680"/>
        </w:tabs>
        <w:ind w:left="1680" w:hanging="7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00000018"/>
    <w:multiLevelType w:val="multilevel"/>
    <w:tmpl w:val="00000018"/>
    <w:lvl w:ilvl="0" w:tentative="0">
      <w:start w:val="1"/>
      <w:numFmt w:val="bullet"/>
      <w:pStyle w:val="185"/>
      <w:lvlText w:val=""/>
      <w:lvlJc w:val="left"/>
      <w:pPr>
        <w:tabs>
          <w:tab w:val="left" w:pos="720"/>
        </w:tabs>
        <w:ind w:left="7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00000019"/>
    <w:multiLevelType w:val="multilevel"/>
    <w:tmpl w:val="00000019"/>
    <w:lvl w:ilvl="0" w:tentative="0">
      <w:start w:val="1"/>
      <w:numFmt w:val="japaneseCounting"/>
      <w:lvlText w:val="%1、"/>
      <w:lvlJc w:val="left"/>
      <w:pPr>
        <w:ind w:left="450" w:hanging="450"/>
      </w:pPr>
      <w:rPr>
        <w:rFonts w:hint="default"/>
      </w:rPr>
    </w:lvl>
    <w:lvl w:ilvl="1" w:tentative="0">
      <w:start w:val="1"/>
      <w:numFmt w:val="lowerLetter"/>
      <w:pStyle w:val="171"/>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B"/>
    <w:multiLevelType w:val="singleLevel"/>
    <w:tmpl w:val="0000001B"/>
    <w:lvl w:ilvl="0" w:tentative="0">
      <w:start w:val="1"/>
      <w:numFmt w:val="decimal"/>
      <w:pStyle w:val="169"/>
      <w:lvlText w:val="5.%1"/>
      <w:lvlJc w:val="left"/>
      <w:pPr>
        <w:ind w:left="0" w:firstLine="0"/>
      </w:pPr>
    </w:lvl>
  </w:abstractNum>
  <w:abstractNum w:abstractNumId="18">
    <w:nsid w:val="0000001C"/>
    <w:multiLevelType w:val="multilevel"/>
    <w:tmpl w:val="0000001C"/>
    <w:lvl w:ilvl="0" w:tentative="0">
      <w:start w:val="1"/>
      <w:numFmt w:val="decimal"/>
      <w:pStyle w:val="181"/>
      <w:lvlText w:val="%1）、"/>
      <w:lvlJc w:val="left"/>
      <w:pPr>
        <w:tabs>
          <w:tab w:val="left" w:pos="1080"/>
        </w:tabs>
        <w:ind w:left="108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66D3CEB"/>
    <w:multiLevelType w:val="multilevel"/>
    <w:tmpl w:val="666D3CEB"/>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default" w:ascii="Times New Roman" w:hAnsi="Times New Roman" w:cs="Times New Roman"/>
        <w:b w:val="0"/>
      </w:rPr>
    </w:lvl>
    <w:lvl w:ilvl="2" w:tentative="0">
      <w:start w:val="1"/>
      <w:numFmt w:val="decimal"/>
      <w:lvlText w:val="%1.%2.%3."/>
      <w:lvlJc w:val="left"/>
      <w:pPr>
        <w:tabs>
          <w:tab w:val="left" w:pos="907"/>
        </w:tabs>
        <w:ind w:left="907" w:hanging="907"/>
      </w:pPr>
      <w:rPr>
        <w:rFonts w:hint="eastAsia"/>
        <w:b w:val="0"/>
        <w:sz w:val="24"/>
        <w:szCs w:val="24"/>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12"/>
  </w:num>
  <w:num w:numId="3">
    <w:abstractNumId w:val="13"/>
  </w:num>
  <w:num w:numId="4">
    <w:abstractNumId w:val="17"/>
  </w:num>
  <w:num w:numId="5">
    <w:abstractNumId w:val="16"/>
  </w:num>
  <w:num w:numId="6">
    <w:abstractNumId w:val="4"/>
  </w:num>
  <w:num w:numId="7">
    <w:abstractNumId w:val="18"/>
  </w:num>
  <w:num w:numId="8">
    <w:abstractNumId w:val="15"/>
  </w:num>
  <w:num w:numId="9">
    <w:abstractNumId w:val="2"/>
  </w:num>
  <w:num w:numId="10">
    <w:abstractNumId w:val="1"/>
  </w:num>
  <w:num w:numId="11">
    <w:abstractNumId w:val="7"/>
  </w:num>
  <w:num w:numId="12">
    <w:abstractNumId w:val="11"/>
  </w:num>
  <w:num w:numId="13">
    <w:abstractNumId w:val="9"/>
  </w:num>
  <w:num w:numId="14">
    <w:abstractNumId w:val="8"/>
  </w:num>
  <w:num w:numId="15">
    <w:abstractNumId w:val="3"/>
  </w:num>
  <w:num w:numId="16">
    <w:abstractNumId w:val="10"/>
  </w:num>
  <w:num w:numId="17">
    <w:abstractNumId w:val="14"/>
  </w:num>
  <w:num w:numId="18">
    <w:abstractNumId w:val="19"/>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ZmQ3NzU2OTgzMDZlZDI3NWIxNTdmMTI2MGE4NzcifQ=="/>
  </w:docVars>
  <w:rsids>
    <w:rsidRoot w:val="00981912"/>
    <w:rsid w:val="00002D97"/>
    <w:rsid w:val="00003396"/>
    <w:rsid w:val="00004C53"/>
    <w:rsid w:val="00004C74"/>
    <w:rsid w:val="00010D25"/>
    <w:rsid w:val="000169B2"/>
    <w:rsid w:val="000178BA"/>
    <w:rsid w:val="00021803"/>
    <w:rsid w:val="0003035F"/>
    <w:rsid w:val="0003154C"/>
    <w:rsid w:val="00034D6A"/>
    <w:rsid w:val="00035766"/>
    <w:rsid w:val="000365FE"/>
    <w:rsid w:val="00036A16"/>
    <w:rsid w:val="00041632"/>
    <w:rsid w:val="00041E14"/>
    <w:rsid w:val="0004287F"/>
    <w:rsid w:val="00046010"/>
    <w:rsid w:val="00051105"/>
    <w:rsid w:val="00061174"/>
    <w:rsid w:val="000662DB"/>
    <w:rsid w:val="00067708"/>
    <w:rsid w:val="00067FC2"/>
    <w:rsid w:val="000805D4"/>
    <w:rsid w:val="00080FE1"/>
    <w:rsid w:val="00084AC1"/>
    <w:rsid w:val="000850BC"/>
    <w:rsid w:val="00087CD5"/>
    <w:rsid w:val="00091381"/>
    <w:rsid w:val="000965C5"/>
    <w:rsid w:val="000A241D"/>
    <w:rsid w:val="000C01C1"/>
    <w:rsid w:val="000C1D27"/>
    <w:rsid w:val="000C3461"/>
    <w:rsid w:val="000C6CE5"/>
    <w:rsid w:val="000C73B0"/>
    <w:rsid w:val="000C7BA3"/>
    <w:rsid w:val="000D157A"/>
    <w:rsid w:val="000D5D22"/>
    <w:rsid w:val="000D7A65"/>
    <w:rsid w:val="000E37B0"/>
    <w:rsid w:val="000E5B38"/>
    <w:rsid w:val="000F2F36"/>
    <w:rsid w:val="000F331C"/>
    <w:rsid w:val="000F5919"/>
    <w:rsid w:val="001077CB"/>
    <w:rsid w:val="00110E20"/>
    <w:rsid w:val="0011187B"/>
    <w:rsid w:val="00113A9D"/>
    <w:rsid w:val="0011559B"/>
    <w:rsid w:val="00116C1B"/>
    <w:rsid w:val="0012362E"/>
    <w:rsid w:val="001236C9"/>
    <w:rsid w:val="00127420"/>
    <w:rsid w:val="001347F7"/>
    <w:rsid w:val="00137329"/>
    <w:rsid w:val="00140971"/>
    <w:rsid w:val="0014324B"/>
    <w:rsid w:val="00145CC2"/>
    <w:rsid w:val="00147643"/>
    <w:rsid w:val="00150361"/>
    <w:rsid w:val="00150383"/>
    <w:rsid w:val="001507FB"/>
    <w:rsid w:val="00155185"/>
    <w:rsid w:val="001633A3"/>
    <w:rsid w:val="00163490"/>
    <w:rsid w:val="00175E83"/>
    <w:rsid w:val="0017679C"/>
    <w:rsid w:val="00182A30"/>
    <w:rsid w:val="0018583A"/>
    <w:rsid w:val="00187F96"/>
    <w:rsid w:val="001A0A7F"/>
    <w:rsid w:val="001A154B"/>
    <w:rsid w:val="001B5039"/>
    <w:rsid w:val="001B7877"/>
    <w:rsid w:val="001B7F86"/>
    <w:rsid w:val="001C13DE"/>
    <w:rsid w:val="001D0869"/>
    <w:rsid w:val="001E0F9A"/>
    <w:rsid w:val="001E28B1"/>
    <w:rsid w:val="001E7E03"/>
    <w:rsid w:val="002035E4"/>
    <w:rsid w:val="00203FBA"/>
    <w:rsid w:val="00206FF9"/>
    <w:rsid w:val="002126A6"/>
    <w:rsid w:val="00212B9E"/>
    <w:rsid w:val="00214F6C"/>
    <w:rsid w:val="002168D7"/>
    <w:rsid w:val="00217AC8"/>
    <w:rsid w:val="00220CD0"/>
    <w:rsid w:val="00221C6D"/>
    <w:rsid w:val="00232E8F"/>
    <w:rsid w:val="00235205"/>
    <w:rsid w:val="00236B1F"/>
    <w:rsid w:val="00237551"/>
    <w:rsid w:val="002424DD"/>
    <w:rsid w:val="00245622"/>
    <w:rsid w:val="00245D23"/>
    <w:rsid w:val="00246B93"/>
    <w:rsid w:val="0025364C"/>
    <w:rsid w:val="00255773"/>
    <w:rsid w:val="00260E38"/>
    <w:rsid w:val="002643C6"/>
    <w:rsid w:val="00264B85"/>
    <w:rsid w:val="00275013"/>
    <w:rsid w:val="0027546C"/>
    <w:rsid w:val="00275C9E"/>
    <w:rsid w:val="002770A3"/>
    <w:rsid w:val="0027713A"/>
    <w:rsid w:val="00281F4E"/>
    <w:rsid w:val="00286764"/>
    <w:rsid w:val="0028696A"/>
    <w:rsid w:val="002912DE"/>
    <w:rsid w:val="00295D3E"/>
    <w:rsid w:val="002A0391"/>
    <w:rsid w:val="002A32B9"/>
    <w:rsid w:val="002A3945"/>
    <w:rsid w:val="002B0844"/>
    <w:rsid w:val="002C05E0"/>
    <w:rsid w:val="002C35C5"/>
    <w:rsid w:val="002C4636"/>
    <w:rsid w:val="002C554E"/>
    <w:rsid w:val="002C7C6A"/>
    <w:rsid w:val="002D0538"/>
    <w:rsid w:val="002D6B97"/>
    <w:rsid w:val="002D7A78"/>
    <w:rsid w:val="002D7DBF"/>
    <w:rsid w:val="002E403E"/>
    <w:rsid w:val="002E7567"/>
    <w:rsid w:val="002F0A18"/>
    <w:rsid w:val="002F44FD"/>
    <w:rsid w:val="00300F8B"/>
    <w:rsid w:val="00303A44"/>
    <w:rsid w:val="00304C67"/>
    <w:rsid w:val="003057E9"/>
    <w:rsid w:val="003116B8"/>
    <w:rsid w:val="00316544"/>
    <w:rsid w:val="0032305E"/>
    <w:rsid w:val="0032342A"/>
    <w:rsid w:val="00324A82"/>
    <w:rsid w:val="0032681D"/>
    <w:rsid w:val="003275A0"/>
    <w:rsid w:val="00331867"/>
    <w:rsid w:val="00332D71"/>
    <w:rsid w:val="00333B5C"/>
    <w:rsid w:val="003447AB"/>
    <w:rsid w:val="00345A12"/>
    <w:rsid w:val="0034679F"/>
    <w:rsid w:val="003552A9"/>
    <w:rsid w:val="00356FEF"/>
    <w:rsid w:val="00361A54"/>
    <w:rsid w:val="00361D8F"/>
    <w:rsid w:val="00362907"/>
    <w:rsid w:val="00363629"/>
    <w:rsid w:val="003712F5"/>
    <w:rsid w:val="00372407"/>
    <w:rsid w:val="003766FD"/>
    <w:rsid w:val="00384586"/>
    <w:rsid w:val="00385685"/>
    <w:rsid w:val="0039025B"/>
    <w:rsid w:val="00391C63"/>
    <w:rsid w:val="003A1D05"/>
    <w:rsid w:val="003A4080"/>
    <w:rsid w:val="003A4AF4"/>
    <w:rsid w:val="003B23FE"/>
    <w:rsid w:val="003B30B3"/>
    <w:rsid w:val="003C400B"/>
    <w:rsid w:val="003D02B7"/>
    <w:rsid w:val="003D4260"/>
    <w:rsid w:val="003D50CF"/>
    <w:rsid w:val="003D56CD"/>
    <w:rsid w:val="003D5CAD"/>
    <w:rsid w:val="003E259F"/>
    <w:rsid w:val="003E460F"/>
    <w:rsid w:val="003F640D"/>
    <w:rsid w:val="00404D79"/>
    <w:rsid w:val="00405FB9"/>
    <w:rsid w:val="00414401"/>
    <w:rsid w:val="00414A0C"/>
    <w:rsid w:val="0041721B"/>
    <w:rsid w:val="004238F8"/>
    <w:rsid w:val="00423D87"/>
    <w:rsid w:val="0042727D"/>
    <w:rsid w:val="004349D6"/>
    <w:rsid w:val="00435093"/>
    <w:rsid w:val="00436B81"/>
    <w:rsid w:val="00444AAB"/>
    <w:rsid w:val="00445477"/>
    <w:rsid w:val="00447BA7"/>
    <w:rsid w:val="00451364"/>
    <w:rsid w:val="00451E49"/>
    <w:rsid w:val="00452826"/>
    <w:rsid w:val="00454094"/>
    <w:rsid w:val="004556B2"/>
    <w:rsid w:val="0046020A"/>
    <w:rsid w:val="004611CE"/>
    <w:rsid w:val="00463FED"/>
    <w:rsid w:val="00465187"/>
    <w:rsid w:val="00474CFB"/>
    <w:rsid w:val="00483A6A"/>
    <w:rsid w:val="004842F1"/>
    <w:rsid w:val="00486075"/>
    <w:rsid w:val="00486B42"/>
    <w:rsid w:val="00487370"/>
    <w:rsid w:val="00487E00"/>
    <w:rsid w:val="004916DE"/>
    <w:rsid w:val="004933BE"/>
    <w:rsid w:val="00493E2C"/>
    <w:rsid w:val="00494F82"/>
    <w:rsid w:val="004A40E7"/>
    <w:rsid w:val="004A4DE7"/>
    <w:rsid w:val="004A7DB4"/>
    <w:rsid w:val="004B4188"/>
    <w:rsid w:val="004C0FB1"/>
    <w:rsid w:val="004C704C"/>
    <w:rsid w:val="004C71CD"/>
    <w:rsid w:val="004D4534"/>
    <w:rsid w:val="004D695C"/>
    <w:rsid w:val="004F766E"/>
    <w:rsid w:val="00500F1B"/>
    <w:rsid w:val="00504EF2"/>
    <w:rsid w:val="00507A1B"/>
    <w:rsid w:val="00510E15"/>
    <w:rsid w:val="00512216"/>
    <w:rsid w:val="0051525B"/>
    <w:rsid w:val="0051683B"/>
    <w:rsid w:val="00520F9A"/>
    <w:rsid w:val="005242C8"/>
    <w:rsid w:val="00527A6A"/>
    <w:rsid w:val="005320F1"/>
    <w:rsid w:val="00532EA4"/>
    <w:rsid w:val="005337B2"/>
    <w:rsid w:val="005341FD"/>
    <w:rsid w:val="0054024D"/>
    <w:rsid w:val="005464A4"/>
    <w:rsid w:val="00552C91"/>
    <w:rsid w:val="00554158"/>
    <w:rsid w:val="005554C1"/>
    <w:rsid w:val="005570E2"/>
    <w:rsid w:val="005614EC"/>
    <w:rsid w:val="005620E6"/>
    <w:rsid w:val="00564E30"/>
    <w:rsid w:val="00565B92"/>
    <w:rsid w:val="00566E71"/>
    <w:rsid w:val="00575563"/>
    <w:rsid w:val="00577B8F"/>
    <w:rsid w:val="005916F8"/>
    <w:rsid w:val="0059392F"/>
    <w:rsid w:val="0059546A"/>
    <w:rsid w:val="00595717"/>
    <w:rsid w:val="00596B92"/>
    <w:rsid w:val="005A60BA"/>
    <w:rsid w:val="005B3CFF"/>
    <w:rsid w:val="005B51CD"/>
    <w:rsid w:val="005C1AB8"/>
    <w:rsid w:val="005C664C"/>
    <w:rsid w:val="005C6B11"/>
    <w:rsid w:val="005D36B4"/>
    <w:rsid w:val="005D5D4A"/>
    <w:rsid w:val="005D6B8E"/>
    <w:rsid w:val="005E6730"/>
    <w:rsid w:val="005F46C9"/>
    <w:rsid w:val="005F5768"/>
    <w:rsid w:val="0060278E"/>
    <w:rsid w:val="00602C13"/>
    <w:rsid w:val="006036EF"/>
    <w:rsid w:val="00605CF8"/>
    <w:rsid w:val="00612C01"/>
    <w:rsid w:val="00613231"/>
    <w:rsid w:val="00614A8A"/>
    <w:rsid w:val="00617B3A"/>
    <w:rsid w:val="00620FB6"/>
    <w:rsid w:val="006217F0"/>
    <w:rsid w:val="00625AA2"/>
    <w:rsid w:val="00630835"/>
    <w:rsid w:val="0064456E"/>
    <w:rsid w:val="00645847"/>
    <w:rsid w:val="00647D59"/>
    <w:rsid w:val="00650E49"/>
    <w:rsid w:val="00653E50"/>
    <w:rsid w:val="0065516A"/>
    <w:rsid w:val="00661D02"/>
    <w:rsid w:val="006658DD"/>
    <w:rsid w:val="0066653E"/>
    <w:rsid w:val="006750CD"/>
    <w:rsid w:val="006764B8"/>
    <w:rsid w:val="0067653E"/>
    <w:rsid w:val="00676CB2"/>
    <w:rsid w:val="00677242"/>
    <w:rsid w:val="00677318"/>
    <w:rsid w:val="00677C41"/>
    <w:rsid w:val="00691025"/>
    <w:rsid w:val="006917B9"/>
    <w:rsid w:val="006B2E4B"/>
    <w:rsid w:val="006B4594"/>
    <w:rsid w:val="006B5BA8"/>
    <w:rsid w:val="006B5F8E"/>
    <w:rsid w:val="006B713B"/>
    <w:rsid w:val="006C4504"/>
    <w:rsid w:val="006D3007"/>
    <w:rsid w:val="006D42CC"/>
    <w:rsid w:val="006D67B8"/>
    <w:rsid w:val="006E225D"/>
    <w:rsid w:val="006E6C05"/>
    <w:rsid w:val="00704746"/>
    <w:rsid w:val="007050A7"/>
    <w:rsid w:val="00706BAB"/>
    <w:rsid w:val="00710211"/>
    <w:rsid w:val="00710307"/>
    <w:rsid w:val="00716664"/>
    <w:rsid w:val="007206B5"/>
    <w:rsid w:val="00720861"/>
    <w:rsid w:val="0072340C"/>
    <w:rsid w:val="0073173C"/>
    <w:rsid w:val="00732CDB"/>
    <w:rsid w:val="00744863"/>
    <w:rsid w:val="00744B41"/>
    <w:rsid w:val="00751B0D"/>
    <w:rsid w:val="007523E7"/>
    <w:rsid w:val="00752DDE"/>
    <w:rsid w:val="00753376"/>
    <w:rsid w:val="00754141"/>
    <w:rsid w:val="00764BD5"/>
    <w:rsid w:val="007655EF"/>
    <w:rsid w:val="00774EB0"/>
    <w:rsid w:val="00777CB1"/>
    <w:rsid w:val="00777CE7"/>
    <w:rsid w:val="00781096"/>
    <w:rsid w:val="0078324B"/>
    <w:rsid w:val="007906BC"/>
    <w:rsid w:val="00792420"/>
    <w:rsid w:val="007A181D"/>
    <w:rsid w:val="007A2A50"/>
    <w:rsid w:val="007A3888"/>
    <w:rsid w:val="007A6FB3"/>
    <w:rsid w:val="007B11E7"/>
    <w:rsid w:val="007B1FE0"/>
    <w:rsid w:val="007C0288"/>
    <w:rsid w:val="007C7204"/>
    <w:rsid w:val="007D4CD7"/>
    <w:rsid w:val="007E3088"/>
    <w:rsid w:val="007E367A"/>
    <w:rsid w:val="007E3EFE"/>
    <w:rsid w:val="007E6BD8"/>
    <w:rsid w:val="007E789D"/>
    <w:rsid w:val="007F0239"/>
    <w:rsid w:val="007F3680"/>
    <w:rsid w:val="007F5153"/>
    <w:rsid w:val="007F6C0A"/>
    <w:rsid w:val="00800B2F"/>
    <w:rsid w:val="008016C7"/>
    <w:rsid w:val="00801E2E"/>
    <w:rsid w:val="008061F1"/>
    <w:rsid w:val="00807EF5"/>
    <w:rsid w:val="00815B5F"/>
    <w:rsid w:val="00821A37"/>
    <w:rsid w:val="00825A02"/>
    <w:rsid w:val="00831FA8"/>
    <w:rsid w:val="00837630"/>
    <w:rsid w:val="00844108"/>
    <w:rsid w:val="00844757"/>
    <w:rsid w:val="00850C74"/>
    <w:rsid w:val="00850CB0"/>
    <w:rsid w:val="0085483C"/>
    <w:rsid w:val="00855B03"/>
    <w:rsid w:val="00856C39"/>
    <w:rsid w:val="00867583"/>
    <w:rsid w:val="00874EFE"/>
    <w:rsid w:val="00880F78"/>
    <w:rsid w:val="008838F7"/>
    <w:rsid w:val="008856E4"/>
    <w:rsid w:val="00885918"/>
    <w:rsid w:val="00891E2F"/>
    <w:rsid w:val="0089253C"/>
    <w:rsid w:val="00897B7E"/>
    <w:rsid w:val="008A0FD5"/>
    <w:rsid w:val="008A4BD2"/>
    <w:rsid w:val="008C4FDD"/>
    <w:rsid w:val="008C59E1"/>
    <w:rsid w:val="008D0943"/>
    <w:rsid w:val="008D55D3"/>
    <w:rsid w:val="008E01F8"/>
    <w:rsid w:val="008E1212"/>
    <w:rsid w:val="008E28F2"/>
    <w:rsid w:val="008E7310"/>
    <w:rsid w:val="008F580B"/>
    <w:rsid w:val="008F59B1"/>
    <w:rsid w:val="008F716E"/>
    <w:rsid w:val="008F76BB"/>
    <w:rsid w:val="00901030"/>
    <w:rsid w:val="0090133A"/>
    <w:rsid w:val="00912D25"/>
    <w:rsid w:val="009133E6"/>
    <w:rsid w:val="00915EB4"/>
    <w:rsid w:val="00921A64"/>
    <w:rsid w:val="00921DB8"/>
    <w:rsid w:val="00923CED"/>
    <w:rsid w:val="00927569"/>
    <w:rsid w:val="00930848"/>
    <w:rsid w:val="0093275D"/>
    <w:rsid w:val="0093408C"/>
    <w:rsid w:val="009348EF"/>
    <w:rsid w:val="00941B5F"/>
    <w:rsid w:val="00942FA6"/>
    <w:rsid w:val="009452C2"/>
    <w:rsid w:val="0095027E"/>
    <w:rsid w:val="0095151C"/>
    <w:rsid w:val="00952553"/>
    <w:rsid w:val="00956D1C"/>
    <w:rsid w:val="00957714"/>
    <w:rsid w:val="00962CE0"/>
    <w:rsid w:val="00963D9A"/>
    <w:rsid w:val="009705C2"/>
    <w:rsid w:val="00971CE1"/>
    <w:rsid w:val="009727CC"/>
    <w:rsid w:val="009763AD"/>
    <w:rsid w:val="00976B94"/>
    <w:rsid w:val="00981912"/>
    <w:rsid w:val="00982201"/>
    <w:rsid w:val="009834DE"/>
    <w:rsid w:val="009842F6"/>
    <w:rsid w:val="00985B60"/>
    <w:rsid w:val="00986478"/>
    <w:rsid w:val="00997D1F"/>
    <w:rsid w:val="009A3056"/>
    <w:rsid w:val="009A6FD8"/>
    <w:rsid w:val="009B1E87"/>
    <w:rsid w:val="009B3872"/>
    <w:rsid w:val="009B5C04"/>
    <w:rsid w:val="009C0B98"/>
    <w:rsid w:val="009C1F7D"/>
    <w:rsid w:val="009C4219"/>
    <w:rsid w:val="009C44E9"/>
    <w:rsid w:val="009C6FD8"/>
    <w:rsid w:val="009D1EE0"/>
    <w:rsid w:val="009D4A07"/>
    <w:rsid w:val="009D5FBB"/>
    <w:rsid w:val="009E67B1"/>
    <w:rsid w:val="009E78BA"/>
    <w:rsid w:val="009F0AA4"/>
    <w:rsid w:val="009F5AD4"/>
    <w:rsid w:val="00A01711"/>
    <w:rsid w:val="00A14894"/>
    <w:rsid w:val="00A14C65"/>
    <w:rsid w:val="00A15E0F"/>
    <w:rsid w:val="00A174A3"/>
    <w:rsid w:val="00A17681"/>
    <w:rsid w:val="00A17B23"/>
    <w:rsid w:val="00A25A53"/>
    <w:rsid w:val="00A26DA0"/>
    <w:rsid w:val="00A2743E"/>
    <w:rsid w:val="00A33BA7"/>
    <w:rsid w:val="00A40FFB"/>
    <w:rsid w:val="00A42E6C"/>
    <w:rsid w:val="00A63F17"/>
    <w:rsid w:val="00A650C7"/>
    <w:rsid w:val="00A65F2F"/>
    <w:rsid w:val="00A708BA"/>
    <w:rsid w:val="00A73E9D"/>
    <w:rsid w:val="00A73EC2"/>
    <w:rsid w:val="00A75D8F"/>
    <w:rsid w:val="00A764D9"/>
    <w:rsid w:val="00A774A4"/>
    <w:rsid w:val="00A77830"/>
    <w:rsid w:val="00A8146D"/>
    <w:rsid w:val="00A82729"/>
    <w:rsid w:val="00A8449F"/>
    <w:rsid w:val="00A86919"/>
    <w:rsid w:val="00A91F44"/>
    <w:rsid w:val="00A94E4D"/>
    <w:rsid w:val="00A96CA6"/>
    <w:rsid w:val="00AA323A"/>
    <w:rsid w:val="00AA3A64"/>
    <w:rsid w:val="00AA64C3"/>
    <w:rsid w:val="00AB2F6C"/>
    <w:rsid w:val="00AB34DB"/>
    <w:rsid w:val="00AB669B"/>
    <w:rsid w:val="00AB778D"/>
    <w:rsid w:val="00AC0064"/>
    <w:rsid w:val="00AC17F0"/>
    <w:rsid w:val="00AC2D0C"/>
    <w:rsid w:val="00AD3743"/>
    <w:rsid w:val="00AD3E3F"/>
    <w:rsid w:val="00AD531E"/>
    <w:rsid w:val="00AD6481"/>
    <w:rsid w:val="00AE428B"/>
    <w:rsid w:val="00AF017B"/>
    <w:rsid w:val="00AF0A69"/>
    <w:rsid w:val="00AF4BB2"/>
    <w:rsid w:val="00AF569E"/>
    <w:rsid w:val="00AF7742"/>
    <w:rsid w:val="00B00434"/>
    <w:rsid w:val="00B077CC"/>
    <w:rsid w:val="00B1264F"/>
    <w:rsid w:val="00B233BA"/>
    <w:rsid w:val="00B245E2"/>
    <w:rsid w:val="00B26B51"/>
    <w:rsid w:val="00B4233B"/>
    <w:rsid w:val="00B4589A"/>
    <w:rsid w:val="00B46C58"/>
    <w:rsid w:val="00B64753"/>
    <w:rsid w:val="00B66D81"/>
    <w:rsid w:val="00B67F20"/>
    <w:rsid w:val="00B74F73"/>
    <w:rsid w:val="00B80031"/>
    <w:rsid w:val="00B909DA"/>
    <w:rsid w:val="00B977CD"/>
    <w:rsid w:val="00BA795E"/>
    <w:rsid w:val="00BB00B2"/>
    <w:rsid w:val="00BB3192"/>
    <w:rsid w:val="00BB3AE9"/>
    <w:rsid w:val="00BB6AAA"/>
    <w:rsid w:val="00BB6C8B"/>
    <w:rsid w:val="00BB7D94"/>
    <w:rsid w:val="00BC426B"/>
    <w:rsid w:val="00BC4DD8"/>
    <w:rsid w:val="00BD0465"/>
    <w:rsid w:val="00BD051E"/>
    <w:rsid w:val="00BD4015"/>
    <w:rsid w:val="00BD47AC"/>
    <w:rsid w:val="00BE3358"/>
    <w:rsid w:val="00BE3589"/>
    <w:rsid w:val="00BE35D2"/>
    <w:rsid w:val="00BE50A1"/>
    <w:rsid w:val="00BE6D7E"/>
    <w:rsid w:val="00C11B12"/>
    <w:rsid w:val="00C139E6"/>
    <w:rsid w:val="00C13C6A"/>
    <w:rsid w:val="00C20EE1"/>
    <w:rsid w:val="00C21CEF"/>
    <w:rsid w:val="00C2241D"/>
    <w:rsid w:val="00C40528"/>
    <w:rsid w:val="00C45109"/>
    <w:rsid w:val="00C50541"/>
    <w:rsid w:val="00C50E78"/>
    <w:rsid w:val="00C50E92"/>
    <w:rsid w:val="00C521AD"/>
    <w:rsid w:val="00C70CE6"/>
    <w:rsid w:val="00C70DAE"/>
    <w:rsid w:val="00C743BA"/>
    <w:rsid w:val="00C74F9C"/>
    <w:rsid w:val="00C773A1"/>
    <w:rsid w:val="00C778F8"/>
    <w:rsid w:val="00C80628"/>
    <w:rsid w:val="00C95A78"/>
    <w:rsid w:val="00C966A4"/>
    <w:rsid w:val="00CA22F4"/>
    <w:rsid w:val="00CA3E23"/>
    <w:rsid w:val="00CA62EB"/>
    <w:rsid w:val="00CB1614"/>
    <w:rsid w:val="00CB2B7B"/>
    <w:rsid w:val="00CB4653"/>
    <w:rsid w:val="00CB5E6D"/>
    <w:rsid w:val="00CC0616"/>
    <w:rsid w:val="00CC2AD8"/>
    <w:rsid w:val="00CD1910"/>
    <w:rsid w:val="00CD4E05"/>
    <w:rsid w:val="00CD5B6B"/>
    <w:rsid w:val="00CE2371"/>
    <w:rsid w:val="00CE678A"/>
    <w:rsid w:val="00CF3979"/>
    <w:rsid w:val="00CF40F2"/>
    <w:rsid w:val="00CF5C88"/>
    <w:rsid w:val="00CF6040"/>
    <w:rsid w:val="00D00980"/>
    <w:rsid w:val="00D00C17"/>
    <w:rsid w:val="00D01B56"/>
    <w:rsid w:val="00D03B23"/>
    <w:rsid w:val="00D0534B"/>
    <w:rsid w:val="00D059FD"/>
    <w:rsid w:val="00D06C55"/>
    <w:rsid w:val="00D1296D"/>
    <w:rsid w:val="00D141D5"/>
    <w:rsid w:val="00D1534F"/>
    <w:rsid w:val="00D20326"/>
    <w:rsid w:val="00D20F93"/>
    <w:rsid w:val="00D229C5"/>
    <w:rsid w:val="00D24D37"/>
    <w:rsid w:val="00D27312"/>
    <w:rsid w:val="00D31043"/>
    <w:rsid w:val="00D356AF"/>
    <w:rsid w:val="00D443E4"/>
    <w:rsid w:val="00D45A4F"/>
    <w:rsid w:val="00D570DC"/>
    <w:rsid w:val="00D60F06"/>
    <w:rsid w:val="00D632AF"/>
    <w:rsid w:val="00D634A0"/>
    <w:rsid w:val="00D6501B"/>
    <w:rsid w:val="00D712F2"/>
    <w:rsid w:val="00D86FA3"/>
    <w:rsid w:val="00D907A2"/>
    <w:rsid w:val="00D90BDD"/>
    <w:rsid w:val="00D90E38"/>
    <w:rsid w:val="00D916A4"/>
    <w:rsid w:val="00D945DD"/>
    <w:rsid w:val="00D9476B"/>
    <w:rsid w:val="00DA216C"/>
    <w:rsid w:val="00DA2DC8"/>
    <w:rsid w:val="00DA443E"/>
    <w:rsid w:val="00DA483D"/>
    <w:rsid w:val="00DB072C"/>
    <w:rsid w:val="00DB0F2D"/>
    <w:rsid w:val="00DB19FC"/>
    <w:rsid w:val="00DB3F6C"/>
    <w:rsid w:val="00DB6459"/>
    <w:rsid w:val="00DB7AF7"/>
    <w:rsid w:val="00DC4AA8"/>
    <w:rsid w:val="00DC5092"/>
    <w:rsid w:val="00DC6831"/>
    <w:rsid w:val="00DD0B81"/>
    <w:rsid w:val="00DD16F6"/>
    <w:rsid w:val="00DD6ACB"/>
    <w:rsid w:val="00DE0FB4"/>
    <w:rsid w:val="00DE3174"/>
    <w:rsid w:val="00DE389A"/>
    <w:rsid w:val="00DF0957"/>
    <w:rsid w:val="00DF0A9B"/>
    <w:rsid w:val="00DF0C90"/>
    <w:rsid w:val="00DF11F1"/>
    <w:rsid w:val="00DF1206"/>
    <w:rsid w:val="00DF1EA8"/>
    <w:rsid w:val="00DF539A"/>
    <w:rsid w:val="00DF589B"/>
    <w:rsid w:val="00DF6071"/>
    <w:rsid w:val="00DF6993"/>
    <w:rsid w:val="00DF6EA3"/>
    <w:rsid w:val="00E00EB8"/>
    <w:rsid w:val="00E05B54"/>
    <w:rsid w:val="00E13193"/>
    <w:rsid w:val="00E160AD"/>
    <w:rsid w:val="00E219E3"/>
    <w:rsid w:val="00E21C61"/>
    <w:rsid w:val="00E24A04"/>
    <w:rsid w:val="00E250A8"/>
    <w:rsid w:val="00E30E03"/>
    <w:rsid w:val="00E315FB"/>
    <w:rsid w:val="00E3395D"/>
    <w:rsid w:val="00E378C6"/>
    <w:rsid w:val="00E416D0"/>
    <w:rsid w:val="00E42B09"/>
    <w:rsid w:val="00E438A7"/>
    <w:rsid w:val="00E5094C"/>
    <w:rsid w:val="00E52835"/>
    <w:rsid w:val="00E54FAE"/>
    <w:rsid w:val="00E554F1"/>
    <w:rsid w:val="00E63236"/>
    <w:rsid w:val="00E6338B"/>
    <w:rsid w:val="00E70312"/>
    <w:rsid w:val="00E70E30"/>
    <w:rsid w:val="00E714F8"/>
    <w:rsid w:val="00E71E4B"/>
    <w:rsid w:val="00E76F73"/>
    <w:rsid w:val="00E775A6"/>
    <w:rsid w:val="00E84EF9"/>
    <w:rsid w:val="00E87B2A"/>
    <w:rsid w:val="00E90001"/>
    <w:rsid w:val="00E95050"/>
    <w:rsid w:val="00EA284F"/>
    <w:rsid w:val="00EA5614"/>
    <w:rsid w:val="00EA5D75"/>
    <w:rsid w:val="00EB1693"/>
    <w:rsid w:val="00EB34D7"/>
    <w:rsid w:val="00EB38FA"/>
    <w:rsid w:val="00EB440D"/>
    <w:rsid w:val="00EC1ABB"/>
    <w:rsid w:val="00EC48FF"/>
    <w:rsid w:val="00EC5931"/>
    <w:rsid w:val="00EC6F2D"/>
    <w:rsid w:val="00ED0ED6"/>
    <w:rsid w:val="00ED6585"/>
    <w:rsid w:val="00EF110D"/>
    <w:rsid w:val="00EF285A"/>
    <w:rsid w:val="00EF445E"/>
    <w:rsid w:val="00EF4C4B"/>
    <w:rsid w:val="00F03822"/>
    <w:rsid w:val="00F06C7A"/>
    <w:rsid w:val="00F10D7E"/>
    <w:rsid w:val="00F11A62"/>
    <w:rsid w:val="00F30669"/>
    <w:rsid w:val="00F359F1"/>
    <w:rsid w:val="00F44E4C"/>
    <w:rsid w:val="00F461BA"/>
    <w:rsid w:val="00F5479F"/>
    <w:rsid w:val="00F604B4"/>
    <w:rsid w:val="00F66FB0"/>
    <w:rsid w:val="00F72BC7"/>
    <w:rsid w:val="00F747EF"/>
    <w:rsid w:val="00F80A9A"/>
    <w:rsid w:val="00F84B9A"/>
    <w:rsid w:val="00F8559F"/>
    <w:rsid w:val="00F8650D"/>
    <w:rsid w:val="00F92CAB"/>
    <w:rsid w:val="00F939F9"/>
    <w:rsid w:val="00FB0A19"/>
    <w:rsid w:val="00FB0CC5"/>
    <w:rsid w:val="00FB2932"/>
    <w:rsid w:val="00FB7247"/>
    <w:rsid w:val="00FB7F7C"/>
    <w:rsid w:val="00FC366E"/>
    <w:rsid w:val="00FC613A"/>
    <w:rsid w:val="00FD027A"/>
    <w:rsid w:val="00FD1DD8"/>
    <w:rsid w:val="00FD4C62"/>
    <w:rsid w:val="00FD5710"/>
    <w:rsid w:val="00FE0195"/>
    <w:rsid w:val="00FE11DB"/>
    <w:rsid w:val="00FE29D0"/>
    <w:rsid w:val="00FE3572"/>
    <w:rsid w:val="00FE43EC"/>
    <w:rsid w:val="00FE6621"/>
    <w:rsid w:val="00FE6A03"/>
    <w:rsid w:val="00FF2C74"/>
    <w:rsid w:val="00FF385B"/>
    <w:rsid w:val="00FF4910"/>
    <w:rsid w:val="022E4FEF"/>
    <w:rsid w:val="02FB06C2"/>
    <w:rsid w:val="238565F7"/>
    <w:rsid w:val="31B42258"/>
    <w:rsid w:val="380B4B06"/>
    <w:rsid w:val="3A572C73"/>
    <w:rsid w:val="3F6B0154"/>
    <w:rsid w:val="470828A1"/>
    <w:rsid w:val="470A79B1"/>
    <w:rsid w:val="4AD36853"/>
    <w:rsid w:val="4B0818A3"/>
    <w:rsid w:val="4C234A65"/>
    <w:rsid w:val="4FA23EF8"/>
    <w:rsid w:val="528C72FD"/>
    <w:rsid w:val="52B54F12"/>
    <w:rsid w:val="57D20473"/>
    <w:rsid w:val="58174604"/>
    <w:rsid w:val="5A55303C"/>
    <w:rsid w:val="5AB35ED3"/>
    <w:rsid w:val="68A52DBD"/>
    <w:rsid w:val="6CA25912"/>
    <w:rsid w:val="7AF617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1"/>
    <w:qFormat/>
    <w:uiPriority w:val="0"/>
    <w:pPr>
      <w:keepNext/>
      <w:keepLines/>
      <w:spacing w:before="340" w:after="330" w:line="1400" w:lineRule="exact"/>
      <w:jc w:val="center"/>
      <w:outlineLvl w:val="0"/>
    </w:pPr>
    <w:rPr>
      <w:rFonts w:ascii="宋体" w:hAnsi="宋体"/>
      <w:b/>
      <w:kern w:val="44"/>
      <w:sz w:val="52"/>
      <w:szCs w:val="20"/>
    </w:rPr>
  </w:style>
  <w:style w:type="paragraph" w:styleId="6">
    <w:name w:val="heading 2"/>
    <w:basedOn w:val="1"/>
    <w:next w:val="1"/>
    <w:link w:val="102"/>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43"/>
    <w:qFormat/>
    <w:uiPriority w:val="0"/>
    <w:pPr>
      <w:keepNext/>
      <w:keepLines/>
      <w:spacing w:before="260" w:after="260" w:line="416" w:lineRule="auto"/>
      <w:outlineLvl w:val="2"/>
    </w:pPr>
    <w:rPr>
      <w:b/>
      <w:bCs/>
      <w:sz w:val="32"/>
      <w:szCs w:val="32"/>
    </w:rPr>
  </w:style>
  <w:style w:type="paragraph" w:styleId="8">
    <w:name w:val="heading 4"/>
    <w:basedOn w:val="1"/>
    <w:next w:val="1"/>
    <w:link w:val="73"/>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81"/>
    <w:qFormat/>
    <w:uiPriority w:val="0"/>
    <w:pPr>
      <w:keepNext/>
      <w:keepLines/>
      <w:spacing w:before="280" w:after="290" w:line="376" w:lineRule="auto"/>
      <w:outlineLvl w:val="4"/>
    </w:pPr>
    <w:rPr>
      <w:b/>
      <w:bCs/>
      <w:sz w:val="28"/>
      <w:szCs w:val="28"/>
    </w:rPr>
  </w:style>
  <w:style w:type="paragraph" w:styleId="10">
    <w:name w:val="heading 6"/>
    <w:basedOn w:val="1"/>
    <w:next w:val="1"/>
    <w:link w:val="128"/>
    <w:qFormat/>
    <w:uiPriority w:val="0"/>
    <w:pPr>
      <w:keepNext/>
      <w:keepLines/>
      <w:spacing w:before="240" w:after="64" w:line="320" w:lineRule="auto"/>
      <w:ind w:left="1152" w:hanging="1152"/>
      <w:outlineLvl w:val="5"/>
    </w:pPr>
    <w:rPr>
      <w:rFonts w:ascii="Cambria" w:hAnsi="Cambria"/>
      <w:b/>
      <w:bCs/>
      <w:sz w:val="24"/>
    </w:rPr>
  </w:style>
  <w:style w:type="paragraph" w:styleId="11">
    <w:name w:val="heading 7"/>
    <w:basedOn w:val="1"/>
    <w:next w:val="1"/>
    <w:link w:val="110"/>
    <w:qFormat/>
    <w:uiPriority w:val="0"/>
    <w:pPr>
      <w:keepNext/>
      <w:keepLines/>
      <w:spacing w:before="240" w:after="64" w:line="320" w:lineRule="auto"/>
      <w:ind w:left="1296" w:hanging="1296"/>
      <w:outlineLvl w:val="6"/>
    </w:pPr>
    <w:rPr>
      <w:rFonts w:ascii="Calibri" w:hAnsi="Calibri"/>
      <w:b/>
      <w:bCs/>
      <w:sz w:val="24"/>
    </w:rPr>
  </w:style>
  <w:style w:type="paragraph" w:styleId="12">
    <w:name w:val="heading 8"/>
    <w:basedOn w:val="1"/>
    <w:next w:val="1"/>
    <w:link w:val="125"/>
    <w:qFormat/>
    <w:uiPriority w:val="0"/>
    <w:pPr>
      <w:keepNext/>
      <w:keepLines/>
      <w:spacing w:before="240" w:after="64" w:line="320" w:lineRule="auto"/>
      <w:ind w:left="1440" w:hanging="1440"/>
      <w:outlineLvl w:val="7"/>
    </w:pPr>
    <w:rPr>
      <w:rFonts w:ascii="Cambria" w:hAnsi="Cambria"/>
      <w:sz w:val="24"/>
    </w:rPr>
  </w:style>
  <w:style w:type="paragraph" w:styleId="13">
    <w:name w:val="heading 9"/>
    <w:basedOn w:val="1"/>
    <w:next w:val="1"/>
    <w:link w:val="119"/>
    <w:qFormat/>
    <w:uiPriority w:val="0"/>
    <w:pPr>
      <w:keepNext/>
      <w:keepLines/>
      <w:spacing w:before="240" w:after="64" w:line="320" w:lineRule="auto"/>
      <w:ind w:left="1584" w:hanging="1584"/>
      <w:outlineLvl w:val="8"/>
    </w:pPr>
    <w:rPr>
      <w:rFonts w:ascii="Cambria" w:hAnsi="Cambria"/>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napToGrid w:val="0"/>
      <w:spacing w:line="360" w:lineRule="auto"/>
      <w:ind w:firstLine="420" w:firstLineChars="200"/>
    </w:pPr>
    <w:rPr>
      <w:bCs/>
      <w:szCs w:val="21"/>
    </w:rPr>
  </w:style>
  <w:style w:type="paragraph" w:styleId="3">
    <w:name w:val="Body Text Indent"/>
    <w:basedOn w:val="1"/>
    <w:next w:val="4"/>
    <w:link w:val="109"/>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14">
    <w:name w:val="toc 7"/>
    <w:basedOn w:val="1"/>
    <w:next w:val="1"/>
    <w:qFormat/>
    <w:uiPriority w:val="39"/>
    <w:pPr>
      <w:ind w:left="1260"/>
      <w:jc w:val="left"/>
    </w:pPr>
    <w:rPr>
      <w:rFonts w:ascii="Calibri" w:hAnsi="Calibri"/>
      <w:sz w:val="18"/>
      <w:szCs w:val="18"/>
    </w:rPr>
  </w:style>
  <w:style w:type="paragraph" w:styleId="15">
    <w:name w:val="Normal Indent"/>
    <w:basedOn w:val="1"/>
    <w:link w:val="107"/>
    <w:qFormat/>
    <w:uiPriority w:val="0"/>
    <w:pPr>
      <w:spacing w:before="60"/>
      <w:ind w:firstLine="200" w:firstLineChars="200"/>
    </w:pPr>
    <w:rPr>
      <w:rFonts w:eastAsia="Times New Roman"/>
    </w:rPr>
  </w:style>
  <w:style w:type="paragraph" w:styleId="16">
    <w:name w:val="caption"/>
    <w:basedOn w:val="1"/>
    <w:next w:val="1"/>
    <w:qFormat/>
    <w:uiPriority w:val="0"/>
    <w:rPr>
      <w:rFonts w:ascii="Arial" w:hAnsi="Arial" w:eastAsia="黑体"/>
      <w:kern w:val="0"/>
      <w:sz w:val="20"/>
      <w:szCs w:val="20"/>
    </w:rPr>
  </w:style>
  <w:style w:type="paragraph" w:styleId="17">
    <w:name w:val="Document Map"/>
    <w:basedOn w:val="1"/>
    <w:link w:val="74"/>
    <w:qFormat/>
    <w:uiPriority w:val="0"/>
    <w:pPr>
      <w:shd w:val="clear" w:color="auto" w:fill="000080"/>
    </w:pPr>
  </w:style>
  <w:style w:type="paragraph" w:styleId="18">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 w:val="20"/>
      <w:szCs w:val="20"/>
    </w:rPr>
  </w:style>
  <w:style w:type="paragraph" w:styleId="19">
    <w:name w:val="annotation text"/>
    <w:basedOn w:val="1"/>
    <w:link w:val="115"/>
    <w:qFormat/>
    <w:uiPriority w:val="0"/>
    <w:pPr>
      <w:jc w:val="left"/>
    </w:pPr>
  </w:style>
  <w:style w:type="paragraph" w:styleId="20">
    <w:name w:val="Closing"/>
    <w:basedOn w:val="1"/>
    <w:link w:val="117"/>
    <w:qFormat/>
    <w:uiPriority w:val="0"/>
    <w:pPr>
      <w:ind w:left="100" w:leftChars="2100"/>
    </w:pPr>
    <w:rPr>
      <w:rFonts w:ascii="宋体" w:hAnsi="宋体"/>
      <w:color w:val="000000"/>
      <w:kern w:val="0"/>
      <w:sz w:val="24"/>
      <w:szCs w:val="20"/>
    </w:rPr>
  </w:style>
  <w:style w:type="paragraph" w:styleId="21">
    <w:name w:val="Body Text"/>
    <w:basedOn w:val="1"/>
    <w:link w:val="116"/>
    <w:qFormat/>
    <w:uiPriority w:val="0"/>
    <w:pPr>
      <w:spacing w:after="120"/>
    </w:pPr>
    <w:rPr>
      <w:szCs w:val="20"/>
    </w:rPr>
  </w:style>
  <w:style w:type="paragraph" w:styleId="22">
    <w:name w:val="toc 5"/>
    <w:basedOn w:val="1"/>
    <w:next w:val="1"/>
    <w:link w:val="71"/>
    <w:qFormat/>
    <w:uiPriority w:val="39"/>
    <w:pPr>
      <w:ind w:left="840"/>
      <w:jc w:val="left"/>
    </w:pPr>
    <w:rPr>
      <w:rFonts w:ascii="Calibri" w:hAnsi="Calibri"/>
      <w:sz w:val="18"/>
      <w:szCs w:val="18"/>
    </w:rPr>
  </w:style>
  <w:style w:type="paragraph" w:styleId="23">
    <w:name w:val="toc 3"/>
    <w:basedOn w:val="1"/>
    <w:next w:val="1"/>
    <w:qFormat/>
    <w:uiPriority w:val="39"/>
    <w:pPr>
      <w:ind w:left="420"/>
      <w:jc w:val="left"/>
    </w:pPr>
    <w:rPr>
      <w:rFonts w:ascii="Calibri" w:hAnsi="Calibri"/>
      <w:i/>
      <w:iCs/>
      <w:sz w:val="20"/>
      <w:szCs w:val="20"/>
    </w:rPr>
  </w:style>
  <w:style w:type="paragraph" w:styleId="24">
    <w:name w:val="Plain Text"/>
    <w:basedOn w:val="1"/>
    <w:link w:val="77"/>
    <w:qFormat/>
    <w:uiPriority w:val="0"/>
    <w:rPr>
      <w:rFonts w:ascii="宋体" w:hAnsi="Courier New"/>
      <w:szCs w:val="20"/>
    </w:rPr>
  </w:style>
  <w:style w:type="paragraph" w:styleId="25">
    <w:name w:val="toc 8"/>
    <w:basedOn w:val="1"/>
    <w:next w:val="1"/>
    <w:qFormat/>
    <w:uiPriority w:val="39"/>
    <w:pPr>
      <w:ind w:left="1470"/>
      <w:jc w:val="left"/>
    </w:pPr>
    <w:rPr>
      <w:rFonts w:ascii="Calibri" w:hAnsi="Calibri"/>
      <w:sz w:val="18"/>
      <w:szCs w:val="18"/>
    </w:rPr>
  </w:style>
  <w:style w:type="paragraph" w:styleId="26">
    <w:name w:val="Date"/>
    <w:basedOn w:val="1"/>
    <w:next w:val="1"/>
    <w:link w:val="76"/>
    <w:qFormat/>
    <w:uiPriority w:val="0"/>
    <w:pPr>
      <w:adjustRightInd w:val="0"/>
      <w:textAlignment w:val="baseline"/>
    </w:pPr>
    <w:rPr>
      <w:sz w:val="24"/>
      <w:szCs w:val="20"/>
    </w:rPr>
  </w:style>
  <w:style w:type="paragraph" w:styleId="27">
    <w:name w:val="Body Text Indent 2"/>
    <w:basedOn w:val="1"/>
    <w:link w:val="92"/>
    <w:qFormat/>
    <w:uiPriority w:val="0"/>
    <w:pPr>
      <w:spacing w:after="120" w:line="480" w:lineRule="auto"/>
      <w:ind w:left="420" w:leftChars="200"/>
    </w:pPr>
  </w:style>
  <w:style w:type="paragraph" w:styleId="28">
    <w:name w:val="Balloon Text"/>
    <w:basedOn w:val="1"/>
    <w:link w:val="93"/>
    <w:qFormat/>
    <w:uiPriority w:val="0"/>
    <w:rPr>
      <w:sz w:val="18"/>
      <w:szCs w:val="18"/>
    </w:rPr>
  </w:style>
  <w:style w:type="paragraph" w:styleId="29">
    <w:name w:val="footer"/>
    <w:basedOn w:val="1"/>
    <w:link w:val="96"/>
    <w:qFormat/>
    <w:uiPriority w:val="0"/>
    <w:pPr>
      <w:tabs>
        <w:tab w:val="center" w:pos="4153"/>
        <w:tab w:val="right" w:pos="8306"/>
      </w:tabs>
      <w:snapToGrid w:val="0"/>
      <w:jc w:val="left"/>
    </w:pPr>
    <w:rPr>
      <w:sz w:val="18"/>
      <w:szCs w:val="18"/>
    </w:rPr>
  </w:style>
  <w:style w:type="paragraph" w:styleId="30">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rFonts w:ascii="Calibri" w:hAnsi="Calibri"/>
      <w:b/>
      <w:bCs/>
      <w:caps/>
      <w:sz w:val="20"/>
      <w:szCs w:val="20"/>
    </w:rPr>
  </w:style>
  <w:style w:type="paragraph" w:styleId="32">
    <w:name w:val="toc 4"/>
    <w:basedOn w:val="1"/>
    <w:next w:val="1"/>
    <w:qFormat/>
    <w:uiPriority w:val="39"/>
    <w:pPr>
      <w:ind w:left="630"/>
      <w:jc w:val="left"/>
    </w:pPr>
    <w:rPr>
      <w:rFonts w:ascii="Calibri" w:hAnsi="Calibri"/>
      <w:sz w:val="18"/>
      <w:szCs w:val="18"/>
    </w:rPr>
  </w:style>
  <w:style w:type="paragraph" w:styleId="33">
    <w:name w:val="index heading"/>
    <w:basedOn w:val="1"/>
    <w:next w:val="34"/>
    <w:qFormat/>
    <w:uiPriority w:val="0"/>
    <w:rPr>
      <w:kern w:val="0"/>
      <w:sz w:val="20"/>
      <w:szCs w:val="20"/>
    </w:rPr>
  </w:style>
  <w:style w:type="paragraph" w:styleId="34">
    <w:name w:val="index 1"/>
    <w:basedOn w:val="1"/>
    <w:next w:val="1"/>
    <w:qFormat/>
    <w:uiPriority w:val="0"/>
  </w:style>
  <w:style w:type="paragraph" w:styleId="35">
    <w:name w:val="List"/>
    <w:basedOn w:val="1"/>
    <w:qFormat/>
    <w:uiPriority w:val="0"/>
    <w:pPr>
      <w:tabs>
        <w:tab w:val="left" w:pos="420"/>
      </w:tabs>
      <w:adjustRightInd w:val="0"/>
      <w:snapToGrid w:val="0"/>
      <w:spacing w:line="300" w:lineRule="auto"/>
      <w:ind w:left="840" w:hanging="420"/>
    </w:pPr>
    <w:rPr>
      <w:kern w:val="0"/>
      <w:sz w:val="20"/>
    </w:rPr>
  </w:style>
  <w:style w:type="paragraph" w:styleId="36">
    <w:name w:val="footnote text"/>
    <w:basedOn w:val="1"/>
    <w:link w:val="108"/>
    <w:qFormat/>
    <w:uiPriority w:val="99"/>
    <w:pPr>
      <w:snapToGrid w:val="0"/>
    </w:pPr>
    <w:rPr>
      <w:rFonts w:ascii="Calibri" w:hAnsi="Calibri"/>
      <w:kern w:val="0"/>
      <w:sz w:val="20"/>
      <w:szCs w:val="22"/>
    </w:rPr>
  </w:style>
  <w:style w:type="paragraph" w:styleId="37">
    <w:name w:val="toc 6"/>
    <w:basedOn w:val="1"/>
    <w:next w:val="1"/>
    <w:qFormat/>
    <w:uiPriority w:val="39"/>
    <w:pPr>
      <w:ind w:left="1050"/>
      <w:jc w:val="left"/>
    </w:pPr>
    <w:rPr>
      <w:rFonts w:ascii="Calibri" w:hAnsi="Calibri"/>
      <w:sz w:val="18"/>
      <w:szCs w:val="18"/>
    </w:rPr>
  </w:style>
  <w:style w:type="paragraph" w:styleId="38">
    <w:name w:val="Body Text Indent 3"/>
    <w:basedOn w:val="1"/>
    <w:link w:val="127"/>
    <w:qFormat/>
    <w:uiPriority w:val="0"/>
    <w:pPr>
      <w:spacing w:after="120"/>
      <w:ind w:left="420" w:leftChars="200"/>
    </w:pPr>
    <w:rPr>
      <w:sz w:val="16"/>
      <w:szCs w:val="16"/>
    </w:rPr>
  </w:style>
  <w:style w:type="paragraph" w:styleId="39">
    <w:name w:val="table of figures"/>
    <w:basedOn w:val="1"/>
    <w:next w:val="1"/>
    <w:qFormat/>
    <w:uiPriority w:val="0"/>
    <w:pPr>
      <w:ind w:left="200" w:leftChars="200" w:hanging="200" w:hangingChars="200"/>
    </w:pPr>
    <w:rPr>
      <w:kern w:val="0"/>
      <w:sz w:val="22"/>
      <w:szCs w:val="20"/>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39"/>
    <w:pPr>
      <w:ind w:left="1680"/>
      <w:jc w:val="left"/>
    </w:pPr>
    <w:rPr>
      <w:rFonts w:ascii="Calibri" w:hAnsi="Calibri"/>
      <w:sz w:val="18"/>
      <w:szCs w:val="18"/>
    </w:rPr>
  </w:style>
  <w:style w:type="paragraph" w:styleId="42">
    <w:name w:val="Body Text 2"/>
    <w:basedOn w:val="1"/>
    <w:link w:val="126"/>
    <w:qFormat/>
    <w:uiPriority w:val="0"/>
    <w:pPr>
      <w:spacing w:after="120" w:line="480" w:lineRule="auto"/>
    </w:pPr>
    <w:rPr>
      <w:rFonts w:ascii="Calibri" w:hAnsi="Calibri"/>
    </w:rPr>
  </w:style>
  <w:style w:type="paragraph" w:styleId="43">
    <w:name w:val="HTML Preformatted"/>
    <w:basedOn w:val="1"/>
    <w:link w:val="1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annotation subject"/>
    <w:basedOn w:val="19"/>
    <w:next w:val="19"/>
    <w:link w:val="78"/>
    <w:qFormat/>
    <w:uiPriority w:val="0"/>
    <w:rPr>
      <w:b/>
      <w:bCs/>
    </w:rPr>
  </w:style>
  <w:style w:type="paragraph" w:styleId="46">
    <w:name w:val="Body Text First Indent"/>
    <w:basedOn w:val="21"/>
    <w:link w:val="122"/>
    <w:qFormat/>
    <w:uiPriority w:val="0"/>
    <w:pPr>
      <w:tabs>
        <w:tab w:val="left" w:pos="720"/>
      </w:tabs>
      <w:spacing w:line="360" w:lineRule="auto"/>
    </w:pPr>
    <w:rPr>
      <w:rFonts w:ascii="Calibri" w:hAnsi="Calibri"/>
      <w:szCs w:val="22"/>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qFormat/>
    <w:uiPriority w:val="0"/>
  </w:style>
  <w:style w:type="character" w:styleId="52">
    <w:name w:val="Emphasis"/>
    <w:qFormat/>
    <w:uiPriority w:val="0"/>
    <w:rPr>
      <w:i/>
      <w:iCs/>
    </w:rPr>
  </w:style>
  <w:style w:type="character" w:styleId="53">
    <w:name w:val="HTML Definition"/>
    <w:qFormat/>
    <w:uiPriority w:val="0"/>
  </w:style>
  <w:style w:type="character" w:styleId="54">
    <w:name w:val="HTML Variable"/>
    <w:qFormat/>
    <w:uiPriority w:val="0"/>
  </w:style>
  <w:style w:type="character" w:styleId="55">
    <w:name w:val="Hyperlink"/>
    <w:qFormat/>
    <w:uiPriority w:val="99"/>
    <w:rPr>
      <w:color w:val="0000FF"/>
      <w:u w:val="single"/>
    </w:rPr>
  </w:style>
  <w:style w:type="character" w:styleId="56">
    <w:name w:val="HTML Code"/>
    <w:qFormat/>
    <w:uiPriority w:val="0"/>
    <w:rPr>
      <w:rFonts w:hint="eastAsia" w:ascii="微软雅黑" w:hAnsi="微软雅黑" w:eastAsia="微软雅黑" w:cs="微软雅黑"/>
      <w:sz w:val="20"/>
    </w:rPr>
  </w:style>
  <w:style w:type="character" w:styleId="57">
    <w:name w:val="annotation reference"/>
    <w:qFormat/>
    <w:uiPriority w:val="0"/>
    <w:rPr>
      <w:sz w:val="21"/>
      <w:szCs w:val="21"/>
    </w:rPr>
  </w:style>
  <w:style w:type="character" w:styleId="58">
    <w:name w:val="HTML Cite"/>
    <w:qFormat/>
    <w:uiPriority w:val="0"/>
  </w:style>
  <w:style w:type="character" w:styleId="59">
    <w:name w:val="HTML Keyboard"/>
    <w:qFormat/>
    <w:uiPriority w:val="0"/>
    <w:rPr>
      <w:rFonts w:hint="eastAsia" w:ascii="微软雅黑" w:hAnsi="微软雅黑" w:eastAsia="微软雅黑" w:cs="微软雅黑"/>
      <w:sz w:val="20"/>
    </w:rPr>
  </w:style>
  <w:style w:type="character" w:styleId="60">
    <w:name w:val="HTML Sample"/>
    <w:qFormat/>
    <w:uiPriority w:val="0"/>
    <w:rPr>
      <w:rFonts w:hint="eastAsia" w:ascii="微软雅黑" w:hAnsi="微软雅黑" w:eastAsia="微软雅黑" w:cs="微软雅黑"/>
    </w:rPr>
  </w:style>
  <w:style w:type="paragraph" w:customStyle="1" w:styleId="61">
    <w:name w:val="正文正"/>
    <w:basedOn w:val="1"/>
    <w:qFormat/>
    <w:uiPriority w:val="0"/>
    <w:pPr>
      <w:spacing w:line="560" w:lineRule="exact"/>
      <w:ind w:firstLine="561"/>
    </w:pPr>
    <w:rPr>
      <w:rFonts w:ascii="Calibri" w:hAnsi="Calibri"/>
      <w:sz w:val="28"/>
    </w:rPr>
  </w:style>
  <w:style w:type="character" w:customStyle="1" w:styleId="62">
    <w:name w:val="hilite6"/>
    <w:qFormat/>
    <w:uiPriority w:val="0"/>
    <w:rPr>
      <w:color w:val="000000"/>
    </w:rPr>
  </w:style>
  <w:style w:type="character" w:customStyle="1" w:styleId="63">
    <w:name w:val="List Paragraph Char"/>
    <w:link w:val="64"/>
    <w:qFormat/>
    <w:uiPriority w:val="0"/>
    <w:rPr>
      <w:rFonts w:ascii="Calibri" w:hAnsi="Calibri"/>
      <w:kern w:val="2"/>
      <w:sz w:val="21"/>
      <w:szCs w:val="22"/>
    </w:rPr>
  </w:style>
  <w:style w:type="paragraph" w:customStyle="1" w:styleId="64">
    <w:name w:val="List Paragraph1"/>
    <w:basedOn w:val="1"/>
    <w:link w:val="63"/>
    <w:qFormat/>
    <w:uiPriority w:val="0"/>
    <w:pPr>
      <w:ind w:firstLine="420" w:firstLineChars="200"/>
    </w:pPr>
    <w:rPr>
      <w:rFonts w:ascii="Calibri" w:hAnsi="Calibri"/>
      <w:szCs w:val="22"/>
    </w:rPr>
  </w:style>
  <w:style w:type="character" w:customStyle="1" w:styleId="65">
    <w:name w:val="FA正文 Char Char"/>
    <w:link w:val="66"/>
    <w:qFormat/>
    <w:uiPriority w:val="0"/>
    <w:rPr>
      <w:rFonts w:hAnsi="宋体"/>
      <w:kern w:val="2"/>
      <w:sz w:val="24"/>
    </w:rPr>
  </w:style>
  <w:style w:type="paragraph" w:customStyle="1" w:styleId="66">
    <w:name w:val="FA正文"/>
    <w:basedOn w:val="1"/>
    <w:link w:val="65"/>
    <w:qFormat/>
    <w:uiPriority w:val="0"/>
    <w:pPr>
      <w:spacing w:line="360" w:lineRule="auto"/>
      <w:ind w:firstLine="480" w:firstLineChars="200"/>
      <w:jc w:val="left"/>
    </w:pPr>
    <w:rPr>
      <w:rFonts w:hAnsi="宋体"/>
      <w:sz w:val="24"/>
      <w:szCs w:val="20"/>
    </w:rPr>
  </w:style>
  <w:style w:type="character" w:customStyle="1" w:styleId="67">
    <w:name w:val="num"/>
    <w:qFormat/>
    <w:uiPriority w:val="0"/>
    <w:rPr>
      <w:b/>
      <w:color w:val="FF7800"/>
    </w:rPr>
  </w:style>
  <w:style w:type="character" w:customStyle="1" w:styleId="68">
    <w:name w:val="列出段落 Char"/>
    <w:link w:val="69"/>
    <w:qFormat/>
    <w:uiPriority w:val="34"/>
    <w:rPr>
      <w:rFonts w:ascii="Calibri" w:hAnsi="Calibri"/>
      <w:kern w:val="2"/>
      <w:sz w:val="21"/>
      <w:szCs w:val="22"/>
    </w:rPr>
  </w:style>
  <w:style w:type="paragraph" w:customStyle="1" w:styleId="69">
    <w:name w:val="列出段落2"/>
    <w:basedOn w:val="1"/>
    <w:link w:val="68"/>
    <w:qFormat/>
    <w:uiPriority w:val="34"/>
    <w:pPr>
      <w:ind w:firstLine="420" w:firstLineChars="200"/>
    </w:pPr>
    <w:rPr>
      <w:rFonts w:ascii="Calibri" w:hAnsi="Calibri"/>
      <w:szCs w:val="22"/>
    </w:rPr>
  </w:style>
  <w:style w:type="character" w:customStyle="1" w:styleId="70">
    <w:name w:val="纯文本 Char1"/>
    <w:qFormat/>
    <w:uiPriority w:val="0"/>
    <w:rPr>
      <w:rFonts w:ascii="宋体" w:hAnsi="Courier New" w:eastAsia="宋体" w:cs="Courier New"/>
      <w:szCs w:val="21"/>
    </w:rPr>
  </w:style>
  <w:style w:type="character" w:customStyle="1" w:styleId="71">
    <w:name w:val="目录 5 Char"/>
    <w:link w:val="22"/>
    <w:qFormat/>
    <w:uiPriority w:val="39"/>
    <w:rPr>
      <w:rFonts w:ascii="Calibri" w:hAnsi="Calibri"/>
      <w:kern w:val="2"/>
      <w:sz w:val="18"/>
      <w:szCs w:val="18"/>
    </w:rPr>
  </w:style>
  <w:style w:type="character" w:customStyle="1" w:styleId="72">
    <w:name w:val="active5"/>
    <w:qFormat/>
    <w:uiPriority w:val="0"/>
    <w:rPr>
      <w:color w:val="FFFFFF"/>
    </w:rPr>
  </w:style>
  <w:style w:type="character" w:customStyle="1" w:styleId="73">
    <w:name w:val="标题 4 Char"/>
    <w:link w:val="8"/>
    <w:qFormat/>
    <w:uiPriority w:val="0"/>
    <w:rPr>
      <w:rFonts w:ascii="Arial" w:hAnsi="Arial" w:eastAsia="黑体"/>
      <w:b/>
      <w:bCs/>
      <w:kern w:val="2"/>
      <w:sz w:val="28"/>
      <w:szCs w:val="28"/>
    </w:rPr>
  </w:style>
  <w:style w:type="character" w:customStyle="1" w:styleId="74">
    <w:name w:val="文档结构图 Char"/>
    <w:link w:val="17"/>
    <w:qFormat/>
    <w:uiPriority w:val="0"/>
    <w:rPr>
      <w:kern w:val="2"/>
      <w:sz w:val="21"/>
      <w:szCs w:val="24"/>
      <w:shd w:val="clear" w:color="auto" w:fill="000080"/>
    </w:rPr>
  </w:style>
  <w:style w:type="character" w:customStyle="1" w:styleId="75">
    <w:name w:val="访问过的超链接1"/>
    <w:qFormat/>
    <w:uiPriority w:val="99"/>
    <w:rPr>
      <w:rFonts w:hint="eastAsia" w:ascii="宋体" w:hAnsi="宋体" w:eastAsia="宋体" w:cs="宋体"/>
      <w:color w:val="0031C1"/>
      <w:sz w:val="18"/>
      <w:szCs w:val="18"/>
      <w:u w:val="none"/>
    </w:rPr>
  </w:style>
  <w:style w:type="character" w:customStyle="1" w:styleId="76">
    <w:name w:val="日期 Char"/>
    <w:link w:val="26"/>
    <w:qFormat/>
    <w:uiPriority w:val="0"/>
    <w:rPr>
      <w:kern w:val="2"/>
      <w:sz w:val="24"/>
    </w:rPr>
  </w:style>
  <w:style w:type="character" w:customStyle="1" w:styleId="77">
    <w:name w:val="纯文本 Char"/>
    <w:link w:val="24"/>
    <w:qFormat/>
    <w:uiPriority w:val="0"/>
    <w:rPr>
      <w:rFonts w:ascii="宋体" w:hAnsi="Courier New" w:eastAsia="宋体"/>
      <w:kern w:val="2"/>
      <w:sz w:val="21"/>
      <w:lang w:val="en-US" w:eastAsia="zh-CN" w:bidi="ar-SA"/>
    </w:rPr>
  </w:style>
  <w:style w:type="character" w:customStyle="1" w:styleId="78">
    <w:name w:val="批注主题 Char"/>
    <w:link w:val="45"/>
    <w:qFormat/>
    <w:uiPriority w:val="0"/>
    <w:rPr>
      <w:rFonts w:eastAsia="宋体"/>
      <w:b/>
      <w:bCs/>
      <w:kern w:val="2"/>
      <w:sz w:val="21"/>
      <w:szCs w:val="24"/>
      <w:lang w:val="en-US" w:eastAsia="zh-CN" w:bidi="ar-SA"/>
    </w:rPr>
  </w:style>
  <w:style w:type="character" w:customStyle="1" w:styleId="79">
    <w:name w:val="font01"/>
    <w:qFormat/>
    <w:uiPriority w:val="0"/>
    <w:rPr>
      <w:rFonts w:hint="default" w:ascii="Times New Roman" w:hAnsi="Times New Roman" w:cs="Times New Roman"/>
      <w:color w:val="000000"/>
      <w:sz w:val="24"/>
      <w:szCs w:val="24"/>
      <w:u w:val="none"/>
    </w:rPr>
  </w:style>
  <w:style w:type="character" w:customStyle="1" w:styleId="80">
    <w:name w:val="apple-style-span"/>
    <w:qFormat/>
    <w:uiPriority w:val="0"/>
  </w:style>
  <w:style w:type="character" w:customStyle="1" w:styleId="81">
    <w:name w:val="标题 5 Char"/>
    <w:link w:val="9"/>
    <w:qFormat/>
    <w:uiPriority w:val="0"/>
    <w:rPr>
      <w:b/>
      <w:bCs/>
      <w:kern w:val="2"/>
      <w:sz w:val="28"/>
      <w:szCs w:val="28"/>
    </w:rPr>
  </w:style>
  <w:style w:type="character" w:customStyle="1" w:styleId="82">
    <w:name w:val="样式 标题 3h3Level 3 Topic HeadingHeading 3 - oldH3l33rd level...3 Char"/>
    <w:qFormat/>
    <w:uiPriority w:val="0"/>
    <w:rPr>
      <w:rFonts w:hint="eastAsia" w:ascii="黑体" w:eastAsia="黑体"/>
      <w:b/>
      <w:kern w:val="2"/>
      <w:sz w:val="32"/>
      <w:lang w:val="en-US" w:eastAsia="zh-CN"/>
    </w:rPr>
  </w:style>
  <w:style w:type="character" w:customStyle="1" w:styleId="83">
    <w:name w:val="Char Char1"/>
    <w:qFormat/>
    <w:uiPriority w:val="0"/>
    <w:rPr>
      <w:kern w:val="2"/>
      <w:sz w:val="21"/>
      <w:szCs w:val="22"/>
    </w:rPr>
  </w:style>
  <w:style w:type="character" w:customStyle="1" w:styleId="84">
    <w:name w:val="active4"/>
    <w:qFormat/>
    <w:uiPriority w:val="0"/>
    <w:rPr>
      <w:color w:val="FFFFFF"/>
    </w:rPr>
  </w:style>
  <w:style w:type="character" w:customStyle="1" w:styleId="85">
    <w:name w:val="tw4winTerm"/>
    <w:qFormat/>
    <w:uiPriority w:val="0"/>
    <w:rPr>
      <w:color w:val="0000FF"/>
    </w:rPr>
  </w:style>
  <w:style w:type="character" w:customStyle="1" w:styleId="86">
    <w:name w:val="标题1"/>
    <w:qFormat/>
    <w:uiPriority w:val="0"/>
  </w:style>
  <w:style w:type="character" w:customStyle="1" w:styleId="87">
    <w:name w:val="Font Style21"/>
    <w:qFormat/>
    <w:uiPriority w:val="0"/>
    <w:rPr>
      <w:rFonts w:ascii="Arial Narrow" w:hAnsi="Arial Narrow" w:cs="Arial Narrow"/>
      <w:sz w:val="16"/>
      <w:szCs w:val="16"/>
    </w:rPr>
  </w:style>
  <w:style w:type="character" w:customStyle="1" w:styleId="88">
    <w:name w:val="font71"/>
    <w:qFormat/>
    <w:uiPriority w:val="0"/>
    <w:rPr>
      <w:rFonts w:hint="default" w:ascii="Arial" w:hAnsi="Arial" w:cs="Arial"/>
      <w:color w:val="000000"/>
      <w:sz w:val="24"/>
      <w:szCs w:val="24"/>
      <w:u w:val="none"/>
    </w:rPr>
  </w:style>
  <w:style w:type="character" w:customStyle="1" w:styleId="89">
    <w:name w:val="tab2"/>
    <w:qFormat/>
    <w:uiPriority w:val="0"/>
    <w:rPr>
      <w:color w:val="333366"/>
    </w:rPr>
  </w:style>
  <w:style w:type="character" w:customStyle="1" w:styleId="90">
    <w:name w:val="font21"/>
    <w:qFormat/>
    <w:uiPriority w:val="0"/>
    <w:rPr>
      <w:rFonts w:hint="eastAsia" w:ascii="宋体" w:hAnsi="宋体" w:eastAsia="宋体" w:cs="宋体"/>
      <w:color w:val="000000"/>
      <w:sz w:val="21"/>
      <w:szCs w:val="21"/>
      <w:u w:val="none"/>
    </w:rPr>
  </w:style>
  <w:style w:type="character" w:customStyle="1" w:styleId="91">
    <w:name w:val="tab1"/>
    <w:qFormat/>
    <w:uiPriority w:val="0"/>
  </w:style>
  <w:style w:type="character" w:customStyle="1" w:styleId="92">
    <w:name w:val="正文文本缩进 2 Char"/>
    <w:link w:val="27"/>
    <w:qFormat/>
    <w:uiPriority w:val="0"/>
    <w:rPr>
      <w:kern w:val="2"/>
      <w:sz w:val="21"/>
      <w:szCs w:val="24"/>
    </w:rPr>
  </w:style>
  <w:style w:type="character" w:customStyle="1" w:styleId="93">
    <w:name w:val="批注框文本 Char"/>
    <w:link w:val="28"/>
    <w:qFormat/>
    <w:uiPriority w:val="0"/>
    <w:rPr>
      <w:kern w:val="2"/>
      <w:sz w:val="18"/>
      <w:szCs w:val="18"/>
    </w:rPr>
  </w:style>
  <w:style w:type="character" w:customStyle="1" w:styleId="94">
    <w:name w:val="正文文本 Char1"/>
    <w:qFormat/>
    <w:uiPriority w:val="0"/>
    <w:rPr>
      <w:rFonts w:eastAsia="宋体"/>
      <w:kern w:val="2"/>
      <w:sz w:val="21"/>
      <w:lang w:val="en-US" w:eastAsia="zh-CN" w:bidi="ar-SA"/>
    </w:rPr>
  </w:style>
  <w:style w:type="character" w:customStyle="1" w:styleId="95">
    <w:name w:val="页眉 Char"/>
    <w:link w:val="30"/>
    <w:qFormat/>
    <w:uiPriority w:val="0"/>
    <w:rPr>
      <w:kern w:val="2"/>
      <w:sz w:val="18"/>
      <w:szCs w:val="18"/>
    </w:rPr>
  </w:style>
  <w:style w:type="character" w:customStyle="1" w:styleId="96">
    <w:name w:val="页脚 Char"/>
    <w:link w:val="29"/>
    <w:qFormat/>
    <w:uiPriority w:val="0"/>
    <w:rPr>
      <w:rFonts w:eastAsia="宋体"/>
      <w:kern w:val="2"/>
      <w:sz w:val="18"/>
      <w:szCs w:val="18"/>
      <w:lang w:val="en-US" w:eastAsia="zh-CN" w:bidi="ar-SA"/>
    </w:rPr>
  </w:style>
  <w:style w:type="character" w:customStyle="1" w:styleId="97">
    <w:name w:val="legend"/>
    <w:qFormat/>
    <w:uiPriority w:val="0"/>
    <w:rPr>
      <w:rFonts w:ascii="Arial" w:hAnsi="Arial" w:cs="Arial"/>
      <w:b/>
      <w:color w:val="73B304"/>
      <w:sz w:val="21"/>
      <w:szCs w:val="21"/>
      <w:shd w:val="clear" w:color="auto" w:fill="FFFFFF"/>
    </w:rPr>
  </w:style>
  <w:style w:type="character" w:customStyle="1" w:styleId="98">
    <w:name w:val="列出段落 字符"/>
    <w:link w:val="99"/>
    <w:qFormat/>
    <w:uiPriority w:val="0"/>
    <w:rPr>
      <w:rFonts w:ascii="Calibri" w:hAnsi="Calibri"/>
      <w:kern w:val="2"/>
      <w:sz w:val="21"/>
      <w:szCs w:val="22"/>
    </w:rPr>
  </w:style>
  <w:style w:type="paragraph" w:customStyle="1" w:styleId="99">
    <w:name w:val="列出段落1"/>
    <w:basedOn w:val="1"/>
    <w:link w:val="98"/>
    <w:qFormat/>
    <w:uiPriority w:val="34"/>
    <w:pPr>
      <w:ind w:firstLine="420" w:firstLineChars="200"/>
    </w:pPr>
    <w:rPr>
      <w:rFonts w:ascii="Calibri" w:hAnsi="Calibri"/>
      <w:szCs w:val="22"/>
    </w:rPr>
  </w:style>
  <w:style w:type="character" w:customStyle="1" w:styleId="100">
    <w:name w:val="HTML 预设格式 Char"/>
    <w:link w:val="43"/>
    <w:qFormat/>
    <w:uiPriority w:val="0"/>
    <w:rPr>
      <w:rFonts w:ascii="宋体" w:hAnsi="宋体" w:cs="宋体"/>
      <w:sz w:val="24"/>
      <w:szCs w:val="24"/>
    </w:rPr>
  </w:style>
  <w:style w:type="character" w:customStyle="1" w:styleId="101">
    <w:name w:val="release-day"/>
    <w:qFormat/>
    <w:uiPriority w:val="0"/>
    <w:rPr>
      <w:bdr w:val="single" w:color="BDEBB0" w:sz="6" w:space="0"/>
      <w:shd w:val="clear" w:color="auto" w:fill="F5FFF1"/>
    </w:rPr>
  </w:style>
  <w:style w:type="character" w:customStyle="1" w:styleId="102">
    <w:name w:val="标题 2 Char"/>
    <w:link w:val="6"/>
    <w:qFormat/>
    <w:uiPriority w:val="9"/>
    <w:rPr>
      <w:rFonts w:ascii="Arial" w:hAnsi="Arial" w:eastAsia="黑体"/>
      <w:b/>
      <w:bCs/>
      <w:kern w:val="2"/>
      <w:sz w:val="32"/>
      <w:szCs w:val="32"/>
    </w:rPr>
  </w:style>
  <w:style w:type="character" w:customStyle="1" w:styleId="103">
    <w:name w:val="required"/>
    <w:qFormat/>
    <w:uiPriority w:val="0"/>
    <w:rPr>
      <w:color w:val="FF0000"/>
    </w:rPr>
  </w:style>
  <w:style w:type="character" w:customStyle="1" w:styleId="104">
    <w:name w:val="占位符文本1"/>
    <w:qFormat/>
    <w:uiPriority w:val="99"/>
    <w:rPr>
      <w:color w:val="808080"/>
    </w:rPr>
  </w:style>
  <w:style w:type="character" w:customStyle="1" w:styleId="105">
    <w:name w:val="font31"/>
    <w:qFormat/>
    <w:uiPriority w:val="0"/>
    <w:rPr>
      <w:rFonts w:hint="eastAsia" w:ascii="宋体" w:hAnsi="宋体" w:eastAsia="宋体" w:cs="宋体"/>
      <w:color w:val="000000"/>
      <w:sz w:val="20"/>
      <w:szCs w:val="20"/>
      <w:u w:val="none"/>
    </w:rPr>
  </w:style>
  <w:style w:type="character" w:customStyle="1" w:styleId="106">
    <w:name w:val="active6"/>
    <w:qFormat/>
    <w:uiPriority w:val="0"/>
    <w:rPr>
      <w:color w:val="FFFFFF"/>
    </w:rPr>
  </w:style>
  <w:style w:type="character" w:customStyle="1" w:styleId="107">
    <w:name w:val="正文缩进 Char"/>
    <w:link w:val="15"/>
    <w:qFormat/>
    <w:uiPriority w:val="0"/>
    <w:rPr>
      <w:rFonts w:eastAsia="Times New Roman"/>
      <w:kern w:val="2"/>
      <w:sz w:val="21"/>
      <w:szCs w:val="24"/>
    </w:rPr>
  </w:style>
  <w:style w:type="character" w:customStyle="1" w:styleId="108">
    <w:name w:val="脚注文本 Char"/>
    <w:link w:val="36"/>
    <w:qFormat/>
    <w:uiPriority w:val="99"/>
    <w:rPr>
      <w:rFonts w:ascii="Calibri" w:hAnsi="Calibri" w:cs="宋体"/>
      <w:szCs w:val="22"/>
    </w:rPr>
  </w:style>
  <w:style w:type="character" w:customStyle="1" w:styleId="109">
    <w:name w:val="正文文本缩进 Char"/>
    <w:link w:val="3"/>
    <w:qFormat/>
    <w:uiPriority w:val="0"/>
    <w:rPr>
      <w:kern w:val="2"/>
      <w:sz w:val="21"/>
      <w:szCs w:val="24"/>
    </w:rPr>
  </w:style>
  <w:style w:type="character" w:customStyle="1" w:styleId="110">
    <w:name w:val="标题 7 Char"/>
    <w:link w:val="11"/>
    <w:qFormat/>
    <w:uiPriority w:val="0"/>
    <w:rPr>
      <w:rFonts w:ascii="Calibri" w:hAnsi="Calibri"/>
      <w:b/>
      <w:bCs/>
      <w:kern w:val="2"/>
      <w:sz w:val="24"/>
      <w:szCs w:val="24"/>
    </w:rPr>
  </w:style>
  <w:style w:type="character" w:customStyle="1" w:styleId="111">
    <w:name w:val="正文缩进2格 Char Char"/>
    <w:qFormat/>
    <w:uiPriority w:val="0"/>
    <w:rPr>
      <w:rFonts w:ascii="仿宋_GB2312" w:hAnsi="宋体" w:eastAsia="仿宋_GB2312"/>
      <w:kern w:val="2"/>
      <w:sz w:val="31"/>
      <w:lang w:val="en-US" w:eastAsia="zh-CN" w:bidi="ar-SA"/>
    </w:rPr>
  </w:style>
  <w:style w:type="character" w:customStyle="1" w:styleId="112">
    <w:name w:val="hilite"/>
    <w:qFormat/>
    <w:uiPriority w:val="0"/>
    <w:rPr>
      <w:color w:val="000000"/>
    </w:rPr>
  </w:style>
  <w:style w:type="character" w:customStyle="1" w:styleId="113">
    <w:name w:val="正文缩进2格 Char"/>
    <w:link w:val="114"/>
    <w:qFormat/>
    <w:uiPriority w:val="0"/>
    <w:rPr>
      <w:rFonts w:ascii="仿宋_GB2312" w:hAnsi="宋体" w:eastAsia="仿宋_GB2312"/>
      <w:kern w:val="2"/>
      <w:sz w:val="31"/>
      <w:lang w:val="en-US" w:eastAsia="zh-CN" w:bidi="ar-SA"/>
    </w:rPr>
  </w:style>
  <w:style w:type="paragraph" w:customStyle="1" w:styleId="114">
    <w:name w:val="正文缩进2格"/>
    <w:basedOn w:val="1"/>
    <w:next w:val="1"/>
    <w:link w:val="113"/>
    <w:qFormat/>
    <w:uiPriority w:val="0"/>
    <w:pPr>
      <w:spacing w:line="600" w:lineRule="exact"/>
      <w:ind w:firstLine="639" w:firstLineChars="206"/>
    </w:pPr>
    <w:rPr>
      <w:rFonts w:ascii="仿宋_GB2312" w:hAnsi="宋体" w:eastAsia="仿宋_GB2312"/>
      <w:sz w:val="31"/>
      <w:szCs w:val="20"/>
    </w:rPr>
  </w:style>
  <w:style w:type="character" w:customStyle="1" w:styleId="115">
    <w:name w:val="批注文字 Char"/>
    <w:link w:val="19"/>
    <w:qFormat/>
    <w:uiPriority w:val="0"/>
    <w:rPr>
      <w:kern w:val="2"/>
      <w:sz w:val="21"/>
      <w:szCs w:val="24"/>
    </w:rPr>
  </w:style>
  <w:style w:type="character" w:customStyle="1" w:styleId="116">
    <w:name w:val="正文文本 Char"/>
    <w:link w:val="21"/>
    <w:qFormat/>
    <w:uiPriority w:val="0"/>
    <w:rPr>
      <w:rFonts w:eastAsia="宋体"/>
      <w:kern w:val="2"/>
      <w:sz w:val="21"/>
      <w:lang w:val="en-US" w:eastAsia="zh-CN" w:bidi="ar-SA"/>
    </w:rPr>
  </w:style>
  <w:style w:type="character" w:customStyle="1" w:styleId="117">
    <w:name w:val="结束语 Char"/>
    <w:link w:val="20"/>
    <w:qFormat/>
    <w:uiPriority w:val="0"/>
    <w:rPr>
      <w:rFonts w:ascii="宋体" w:hAnsi="宋体"/>
      <w:color w:val="000000"/>
      <w:sz w:val="24"/>
    </w:rPr>
  </w:style>
  <w:style w:type="character" w:customStyle="1" w:styleId="118">
    <w:name w:val="fielderror"/>
    <w:qFormat/>
    <w:uiPriority w:val="0"/>
    <w:rPr>
      <w:color w:val="800000"/>
    </w:rPr>
  </w:style>
  <w:style w:type="character" w:customStyle="1" w:styleId="119">
    <w:name w:val="标题 9 Char"/>
    <w:link w:val="13"/>
    <w:qFormat/>
    <w:uiPriority w:val="0"/>
    <w:rPr>
      <w:rFonts w:ascii="Cambria" w:hAnsi="Cambria"/>
      <w:kern w:val="2"/>
      <w:sz w:val="21"/>
      <w:szCs w:val="21"/>
    </w:rPr>
  </w:style>
  <w:style w:type="character" w:customStyle="1" w:styleId="120">
    <w:name w:val="font11"/>
    <w:qFormat/>
    <w:uiPriority w:val="0"/>
    <w:rPr>
      <w:rFonts w:hint="eastAsia" w:ascii="宋体" w:hAnsi="宋体" w:eastAsia="宋体" w:cs="宋体"/>
      <w:color w:val="000000"/>
      <w:sz w:val="20"/>
      <w:szCs w:val="20"/>
      <w:u w:val="none"/>
      <w:vertAlign w:val="superscript"/>
    </w:rPr>
  </w:style>
  <w:style w:type="character" w:customStyle="1" w:styleId="121">
    <w:name w:val="NormalCharacter"/>
    <w:qFormat/>
    <w:uiPriority w:val="0"/>
  </w:style>
  <w:style w:type="character" w:customStyle="1" w:styleId="122">
    <w:name w:val="正文首行缩进 Char"/>
    <w:link w:val="46"/>
    <w:qFormat/>
    <w:uiPriority w:val="0"/>
    <w:rPr>
      <w:rFonts w:ascii="Calibri" w:hAnsi="Calibri"/>
      <w:kern w:val="2"/>
      <w:sz w:val="21"/>
      <w:szCs w:val="22"/>
    </w:rPr>
  </w:style>
  <w:style w:type="character" w:customStyle="1" w:styleId="123">
    <w:name w:val="font51"/>
    <w:qFormat/>
    <w:uiPriority w:val="0"/>
    <w:rPr>
      <w:rFonts w:hint="eastAsia" w:ascii="宋体" w:hAnsi="宋体" w:eastAsia="宋体" w:cs="宋体"/>
      <w:color w:val="000000"/>
      <w:sz w:val="20"/>
      <w:szCs w:val="20"/>
      <w:u w:val="none"/>
    </w:rPr>
  </w:style>
  <w:style w:type="character" w:customStyle="1" w:styleId="124">
    <w:name w:val="content"/>
    <w:qFormat/>
    <w:uiPriority w:val="0"/>
  </w:style>
  <w:style w:type="character" w:customStyle="1" w:styleId="125">
    <w:name w:val="标题 8 Char"/>
    <w:link w:val="12"/>
    <w:qFormat/>
    <w:uiPriority w:val="0"/>
    <w:rPr>
      <w:rFonts w:ascii="Cambria" w:hAnsi="Cambria"/>
      <w:kern w:val="2"/>
      <w:sz w:val="24"/>
      <w:szCs w:val="24"/>
    </w:rPr>
  </w:style>
  <w:style w:type="character" w:customStyle="1" w:styleId="126">
    <w:name w:val="正文文本 2 Char"/>
    <w:link w:val="42"/>
    <w:qFormat/>
    <w:uiPriority w:val="0"/>
    <w:rPr>
      <w:rFonts w:ascii="Calibri" w:hAnsi="Calibri"/>
      <w:kern w:val="2"/>
      <w:sz w:val="21"/>
      <w:szCs w:val="24"/>
    </w:rPr>
  </w:style>
  <w:style w:type="character" w:customStyle="1" w:styleId="127">
    <w:name w:val="正文文本缩进 3 Char"/>
    <w:link w:val="38"/>
    <w:qFormat/>
    <w:uiPriority w:val="0"/>
    <w:rPr>
      <w:kern w:val="2"/>
      <w:sz w:val="16"/>
      <w:szCs w:val="16"/>
    </w:rPr>
  </w:style>
  <w:style w:type="character" w:customStyle="1" w:styleId="128">
    <w:name w:val="标题 6 Char"/>
    <w:link w:val="10"/>
    <w:qFormat/>
    <w:uiPriority w:val="0"/>
    <w:rPr>
      <w:rFonts w:ascii="Cambria" w:hAnsi="Cambria"/>
      <w:b/>
      <w:bCs/>
      <w:kern w:val="2"/>
      <w:sz w:val="24"/>
      <w:szCs w:val="24"/>
    </w:rPr>
  </w:style>
  <w:style w:type="character" w:customStyle="1" w:styleId="129">
    <w:name w:val="标题 3.1 Char"/>
    <w:link w:val="130"/>
    <w:qFormat/>
    <w:uiPriority w:val="0"/>
    <w:rPr>
      <w:rFonts w:ascii="宋体" w:hAnsi="宋体" w:eastAsia="宋体"/>
      <w:b/>
      <w:color w:val="FF0000"/>
      <w:kern w:val="2"/>
      <w:sz w:val="32"/>
      <w:lang w:val="en-US" w:eastAsia="zh-CN" w:bidi="ar-SA"/>
    </w:rPr>
  </w:style>
  <w:style w:type="paragraph" w:customStyle="1" w:styleId="130">
    <w:name w:val="标题 3.1"/>
    <w:basedOn w:val="7"/>
    <w:link w:val="129"/>
    <w:qFormat/>
    <w:uiPriority w:val="0"/>
    <w:pPr>
      <w:tabs>
        <w:tab w:val="left" w:pos="1440"/>
        <w:tab w:val="left" w:pos="1620"/>
      </w:tabs>
      <w:spacing w:line="600" w:lineRule="exact"/>
    </w:pPr>
    <w:rPr>
      <w:rFonts w:ascii="宋体" w:hAnsi="宋体"/>
      <w:bCs w:val="0"/>
      <w:color w:val="FF0000"/>
      <w:szCs w:val="20"/>
    </w:rPr>
  </w:style>
  <w:style w:type="character" w:customStyle="1" w:styleId="131">
    <w:name w:val="标题 1 Char"/>
    <w:link w:val="5"/>
    <w:qFormat/>
    <w:uiPriority w:val="0"/>
    <w:rPr>
      <w:rFonts w:ascii="宋体" w:hAnsi="宋体" w:eastAsia="宋体"/>
      <w:b/>
      <w:kern w:val="44"/>
      <w:sz w:val="52"/>
      <w:lang w:val="en-US" w:eastAsia="zh-CN" w:bidi="ar-SA"/>
    </w:rPr>
  </w:style>
  <w:style w:type="character" w:customStyle="1" w:styleId="132">
    <w:name w:val="图号 Char Char Char"/>
    <w:link w:val="133"/>
    <w:qFormat/>
    <w:uiPriority w:val="0"/>
    <w:rPr>
      <w:rFonts w:ascii="Arial" w:hAnsi="Arial" w:cs="Arial"/>
      <w:sz w:val="18"/>
      <w:szCs w:val="18"/>
    </w:rPr>
  </w:style>
  <w:style w:type="paragraph" w:customStyle="1" w:styleId="133">
    <w:name w:val="图号 Char Char"/>
    <w:basedOn w:val="1"/>
    <w:link w:val="132"/>
    <w:qFormat/>
    <w:uiPriority w:val="0"/>
    <w:pPr>
      <w:autoSpaceDE w:val="0"/>
      <w:autoSpaceDN w:val="0"/>
      <w:adjustRightInd w:val="0"/>
      <w:spacing w:before="105" w:line="360" w:lineRule="auto"/>
      <w:jc w:val="center"/>
    </w:pPr>
    <w:rPr>
      <w:rFonts w:ascii="Arial" w:hAnsi="Arial"/>
      <w:kern w:val="0"/>
      <w:sz w:val="18"/>
      <w:szCs w:val="18"/>
    </w:rPr>
  </w:style>
  <w:style w:type="character" w:customStyle="1" w:styleId="134">
    <w:name w:val="结束语 Char1"/>
    <w:qFormat/>
    <w:uiPriority w:val="0"/>
    <w:rPr>
      <w:kern w:val="2"/>
      <w:sz w:val="21"/>
    </w:rPr>
  </w:style>
  <w:style w:type="character" w:customStyle="1" w:styleId="135">
    <w:name w:val="正文内容 Char"/>
    <w:link w:val="136"/>
    <w:qFormat/>
    <w:uiPriority w:val="0"/>
    <w:rPr>
      <w:sz w:val="24"/>
    </w:rPr>
  </w:style>
  <w:style w:type="paragraph" w:customStyle="1" w:styleId="136">
    <w:name w:val="正文内容"/>
    <w:basedOn w:val="3"/>
    <w:link w:val="135"/>
    <w:qFormat/>
    <w:uiPriority w:val="0"/>
    <w:pPr>
      <w:spacing w:beforeLines="50" w:afterLines="50" w:line="360" w:lineRule="auto"/>
      <w:ind w:left="0" w:leftChars="0" w:firstLine="480" w:firstLineChars="200"/>
    </w:pPr>
    <w:rPr>
      <w:kern w:val="0"/>
      <w:sz w:val="24"/>
      <w:szCs w:val="20"/>
    </w:rPr>
  </w:style>
  <w:style w:type="character" w:customStyle="1" w:styleId="137">
    <w:name w:val="active"/>
    <w:qFormat/>
    <w:uiPriority w:val="0"/>
    <w:rPr>
      <w:color w:val="FFFFFF"/>
    </w:rPr>
  </w:style>
  <w:style w:type="character" w:customStyle="1" w:styleId="138">
    <w:name w:val="hilite5"/>
    <w:qFormat/>
    <w:uiPriority w:val="0"/>
    <w:rPr>
      <w:color w:val="000000"/>
    </w:rPr>
  </w:style>
  <w:style w:type="character" w:customStyle="1" w:styleId="139">
    <w:name w:val="表格 Char Char"/>
    <w:link w:val="140"/>
    <w:qFormat/>
    <w:uiPriority w:val="0"/>
    <w:rPr>
      <w:rFonts w:ascii="宋体" w:hAnsi="宋体"/>
    </w:rPr>
  </w:style>
  <w:style w:type="paragraph" w:customStyle="1" w:styleId="140">
    <w:name w:val="表格"/>
    <w:basedOn w:val="1"/>
    <w:link w:val="139"/>
    <w:qFormat/>
    <w:uiPriority w:val="0"/>
    <w:pPr>
      <w:snapToGrid w:val="0"/>
      <w:ind w:firstLine="42" w:firstLineChars="21"/>
    </w:pPr>
    <w:rPr>
      <w:rFonts w:ascii="宋体" w:hAnsi="宋体"/>
      <w:kern w:val="0"/>
      <w:sz w:val="20"/>
      <w:szCs w:val="20"/>
    </w:rPr>
  </w:style>
  <w:style w:type="character" w:customStyle="1" w:styleId="141">
    <w:name w:val="num10"/>
    <w:qFormat/>
    <w:uiPriority w:val="0"/>
    <w:rPr>
      <w:b/>
      <w:color w:val="FF7800"/>
    </w:rPr>
  </w:style>
  <w:style w:type="character" w:customStyle="1" w:styleId="142">
    <w:name w:val="font61"/>
    <w:qFormat/>
    <w:uiPriority w:val="99"/>
    <w:rPr>
      <w:rFonts w:hint="eastAsia" w:ascii="宋体" w:hAnsi="宋体" w:eastAsia="宋体" w:cs="宋体"/>
      <w:b/>
      <w:color w:val="000000"/>
      <w:sz w:val="21"/>
      <w:szCs w:val="21"/>
      <w:u w:val="none"/>
    </w:rPr>
  </w:style>
  <w:style w:type="character" w:customStyle="1" w:styleId="143">
    <w:name w:val="标题 3 Char"/>
    <w:link w:val="7"/>
    <w:qFormat/>
    <w:uiPriority w:val="0"/>
    <w:rPr>
      <w:b/>
      <w:bCs/>
      <w:kern w:val="2"/>
      <w:sz w:val="32"/>
      <w:szCs w:val="32"/>
    </w:rPr>
  </w:style>
  <w:style w:type="character" w:customStyle="1" w:styleId="144">
    <w:name w:val="不明显强调1"/>
    <w:qFormat/>
    <w:uiPriority w:val="19"/>
    <w:rPr>
      <w:i/>
      <w:iCs/>
      <w:color w:val="000000"/>
    </w:rPr>
  </w:style>
  <w:style w:type="paragraph" w:customStyle="1" w:styleId="145">
    <w:name w:val="无缩进"/>
    <w:next w:val="21"/>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46">
    <w:name w:val="Char Char Char Char Char Char Char Char"/>
    <w:basedOn w:val="1"/>
    <w:qFormat/>
    <w:uiPriority w:val="0"/>
    <w:pPr>
      <w:widowControl/>
      <w:snapToGrid w:val="0"/>
      <w:spacing w:after="160" w:line="360" w:lineRule="auto"/>
      <w:jc w:val="left"/>
    </w:pPr>
    <w:rPr>
      <w:kern w:val="0"/>
      <w:sz w:val="24"/>
      <w:lang w:eastAsia="en-US"/>
    </w:rPr>
  </w:style>
  <w:style w:type="paragraph" w:customStyle="1" w:styleId="147">
    <w:name w:val="YB正文小四宋体"/>
    <w:qFormat/>
    <w:uiPriority w:val="0"/>
    <w:pPr>
      <w:autoSpaceDE w:val="0"/>
      <w:autoSpaceDN w:val="0"/>
      <w:spacing w:line="500" w:lineRule="exact"/>
      <w:ind w:firstLine="200" w:firstLineChars="200"/>
    </w:pPr>
    <w:rPr>
      <w:rFonts w:ascii="Times New Roman" w:hAnsi="Times New Roman" w:eastAsia="宋体" w:cs="Times New Roman"/>
      <w:sz w:val="24"/>
      <w:szCs w:val="22"/>
      <w:lang w:val="en-US" w:eastAsia="zh-CN" w:bidi="ar-SA"/>
    </w:rPr>
  </w:style>
  <w:style w:type="paragraph" w:customStyle="1" w:styleId="148">
    <w:name w:val="Char Char Char"/>
    <w:basedOn w:val="1"/>
    <w:qFormat/>
    <w:uiPriority w:val="0"/>
    <w:pPr>
      <w:widowControl/>
      <w:spacing w:after="160" w:line="360" w:lineRule="auto"/>
      <w:jc w:val="left"/>
    </w:pPr>
    <w:rPr>
      <w:rFonts w:ascii="Verdana" w:hAnsi="Verdana"/>
      <w:kern w:val="0"/>
      <w:szCs w:val="20"/>
      <w:lang w:eastAsia="en-US"/>
    </w:rPr>
  </w:style>
  <w:style w:type="paragraph" w:customStyle="1" w:styleId="149">
    <w:name w:val="正文文字小标带括"/>
    <w:basedOn w:val="21"/>
    <w:qFormat/>
    <w:uiPriority w:val="0"/>
    <w:pPr>
      <w:numPr>
        <w:ilvl w:val="0"/>
        <w:numId w:val="1"/>
      </w:numPr>
      <w:tabs>
        <w:tab w:val="clear" w:pos="1205"/>
      </w:tabs>
      <w:spacing w:before="60" w:after="60" w:line="380" w:lineRule="exact"/>
      <w:ind w:left="1176" w:firstLine="480" w:firstLineChars="200"/>
    </w:pPr>
    <w:rPr>
      <w:sz w:val="24"/>
      <w:szCs w:val="24"/>
    </w:rPr>
  </w:style>
  <w:style w:type="paragraph" w:customStyle="1" w:styleId="150">
    <w:name w:val="表格文字"/>
    <w:basedOn w:val="1"/>
    <w:qFormat/>
    <w:uiPriority w:val="0"/>
    <w:pPr>
      <w:spacing w:before="25" w:after="25"/>
      <w:jc w:val="left"/>
    </w:pPr>
    <w:rPr>
      <w:bCs/>
      <w:spacing w:val="10"/>
      <w:kern w:val="0"/>
      <w:sz w:val="24"/>
    </w:rPr>
  </w:style>
  <w:style w:type="paragraph" w:customStyle="1" w:styleId="151">
    <w:name w:val="USE 1"/>
    <w:basedOn w:val="1"/>
    <w:qFormat/>
    <w:uiPriority w:val="0"/>
    <w:pPr>
      <w:spacing w:line="200" w:lineRule="atLeast"/>
      <w:jc w:val="left"/>
    </w:pPr>
    <w:rPr>
      <w:rFonts w:ascii="宋体" w:hAnsi="宋体"/>
      <w:b/>
      <w:kern w:val="0"/>
      <w:sz w:val="24"/>
      <w:szCs w:val="20"/>
    </w:rPr>
  </w:style>
  <w:style w:type="paragraph" w:customStyle="1" w:styleId="152">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53">
    <w:name w:val="Char1 Char Char Char"/>
    <w:basedOn w:val="1"/>
    <w:qFormat/>
    <w:uiPriority w:val="0"/>
    <w:pPr>
      <w:ind w:left="420" w:hanging="420"/>
    </w:pPr>
    <w:rPr>
      <w:kern w:val="0"/>
      <w:sz w:val="24"/>
      <w:szCs w:val="20"/>
    </w:rPr>
  </w:style>
  <w:style w:type="paragraph" w:customStyle="1" w:styleId="154">
    <w:name w:val="表头"/>
    <w:basedOn w:val="16"/>
    <w:qFormat/>
    <w:uiPriority w:val="0"/>
    <w:pPr>
      <w:keepNext/>
      <w:keepLines/>
      <w:widowControl/>
      <w:spacing w:before="120" w:after="120" w:line="300" w:lineRule="auto"/>
      <w:jc w:val="center"/>
      <w:textAlignment w:val="baseline"/>
    </w:pPr>
    <w:rPr>
      <w:sz w:val="21"/>
    </w:rPr>
  </w:style>
  <w:style w:type="paragraph" w:customStyle="1" w:styleId="155">
    <w:name w:val="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57">
    <w:name w:val="保留正文"/>
    <w:basedOn w:val="21"/>
    <w:qFormat/>
    <w:uiPriority w:val="0"/>
    <w:pPr>
      <w:keepNext/>
      <w:spacing w:after="160"/>
    </w:pPr>
    <w:rPr>
      <w:szCs w:val="24"/>
    </w:rPr>
  </w:style>
  <w:style w:type="paragraph" w:customStyle="1" w:styleId="15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9">
    <w:name w:val="正文无缩进"/>
    <w:basedOn w:val="114"/>
    <w:qFormat/>
    <w:uiPriority w:val="0"/>
    <w:pPr>
      <w:ind w:firstLine="0" w:firstLineChars="0"/>
    </w:pPr>
  </w:style>
  <w:style w:type="paragraph" w:customStyle="1" w:styleId="160">
    <w:name w:val="_Style 3"/>
    <w:basedOn w:val="1"/>
    <w:qFormat/>
    <w:uiPriority w:val="0"/>
    <w:pPr>
      <w:spacing w:line="360" w:lineRule="auto"/>
      <w:ind w:firstLine="420" w:firstLineChars="200"/>
    </w:pPr>
    <w:rPr>
      <w:rFonts w:ascii="Calibri" w:hAnsi="Calibri"/>
      <w:szCs w:val="22"/>
    </w:rPr>
  </w:style>
  <w:style w:type="paragraph" w:customStyle="1" w:styleId="161">
    <w:name w:val="TableTitle"/>
    <w:basedOn w:val="21"/>
    <w:qFormat/>
    <w:uiPriority w:val="0"/>
    <w:pPr>
      <w:keepNext/>
      <w:widowControl/>
      <w:numPr>
        <w:ilvl w:val="0"/>
        <w:numId w:val="2"/>
      </w:numPr>
      <w:tabs>
        <w:tab w:val="clear" w:pos="820"/>
      </w:tabs>
      <w:spacing w:before="120"/>
      <w:ind w:left="0" w:firstLine="0"/>
      <w:jc w:val="center"/>
    </w:pPr>
    <w:rPr>
      <w:b/>
      <w:kern w:val="0"/>
      <w:sz w:val="24"/>
    </w:rPr>
  </w:style>
  <w:style w:type="paragraph" w:customStyle="1" w:styleId="162">
    <w:name w:val="TOC 标题11"/>
    <w:basedOn w:val="5"/>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1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4">
    <w:name w:val="日期右"/>
    <w:basedOn w:val="26"/>
    <w:qFormat/>
    <w:uiPriority w:val="0"/>
    <w:pPr>
      <w:adjustRightInd/>
      <w:spacing w:line="600" w:lineRule="exact"/>
      <w:jc w:val="right"/>
      <w:textAlignment w:val="auto"/>
    </w:pPr>
    <w:rPr>
      <w:rFonts w:eastAsia="仿宋_GB2312"/>
      <w:sz w:val="31"/>
    </w:rPr>
  </w:style>
  <w:style w:type="paragraph" w:customStyle="1" w:styleId="165">
    <w:name w:val="Char1"/>
    <w:basedOn w:val="1"/>
    <w:qFormat/>
    <w:uiPriority w:val="0"/>
    <w:pPr>
      <w:widowControl/>
      <w:spacing w:after="160" w:line="240" w:lineRule="exact"/>
      <w:ind w:left="-62" w:right="15" w:rightChars="15"/>
      <w:jc w:val="left"/>
    </w:pPr>
    <w:rPr>
      <w:rFonts w:ascii="Arial" w:hAnsi="Arial" w:eastAsia="Times New Roman"/>
      <w:kern w:val="0"/>
      <w:sz w:val="20"/>
      <w:szCs w:val="20"/>
      <w:lang w:eastAsia="en-US"/>
    </w:rPr>
  </w:style>
  <w:style w:type="paragraph" w:customStyle="1" w:styleId="166">
    <w:name w:val="Default Paragraph Font Para Char"/>
    <w:basedOn w:val="1"/>
    <w:qFormat/>
    <w:uiPriority w:val="0"/>
    <w:pPr>
      <w:widowControl/>
      <w:numPr>
        <w:ilvl w:val="0"/>
        <w:numId w:val="3"/>
      </w:numPr>
      <w:spacing w:after="160" w:line="240" w:lineRule="exact"/>
      <w:jc w:val="left"/>
    </w:pPr>
    <w:rPr>
      <w:rFonts w:ascii="Verdana" w:hAnsi="Verdana" w:cs="Verdana"/>
      <w:kern w:val="0"/>
      <w:sz w:val="20"/>
      <w:szCs w:val="20"/>
      <w:lang w:eastAsia="en-US"/>
    </w:rPr>
  </w:style>
  <w:style w:type="paragraph" w:customStyle="1" w:styleId="167">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Decimal Aligned"/>
    <w:basedOn w:val="1"/>
    <w:qFormat/>
    <w:uiPriority w:val="40"/>
    <w:pPr>
      <w:widowControl/>
      <w:tabs>
        <w:tab w:val="decimal" w:pos="360"/>
      </w:tabs>
      <w:spacing w:after="200" w:line="276" w:lineRule="auto"/>
      <w:jc w:val="left"/>
    </w:pPr>
    <w:rPr>
      <w:rFonts w:ascii="Calibri" w:hAnsi="Calibri" w:eastAsia="Calibri"/>
      <w:kern w:val="0"/>
      <w:sz w:val="22"/>
      <w:szCs w:val="22"/>
    </w:rPr>
  </w:style>
  <w:style w:type="paragraph" w:customStyle="1" w:styleId="169">
    <w:name w:val="正文居中"/>
    <w:basedOn w:val="1"/>
    <w:next w:val="46"/>
    <w:qFormat/>
    <w:uiPriority w:val="99"/>
    <w:pPr>
      <w:numPr>
        <w:ilvl w:val="0"/>
        <w:numId w:val="4"/>
      </w:numPr>
      <w:adjustRightInd w:val="0"/>
      <w:snapToGrid w:val="0"/>
      <w:spacing w:line="300" w:lineRule="auto"/>
      <w:jc w:val="center"/>
    </w:pPr>
    <w:rPr>
      <w:kern w:val="0"/>
      <w:sz w:val="20"/>
    </w:rPr>
  </w:style>
  <w:style w:type="paragraph" w:customStyle="1" w:styleId="170">
    <w:name w:val="列出段落11"/>
    <w:basedOn w:val="1"/>
    <w:qFormat/>
    <w:uiPriority w:val="34"/>
    <w:pPr>
      <w:spacing w:after="200" w:line="276" w:lineRule="auto"/>
      <w:ind w:left="720"/>
    </w:pPr>
    <w:rPr>
      <w:rFonts w:ascii="Calibri" w:hAnsi="Calibri"/>
    </w:rPr>
  </w:style>
  <w:style w:type="paragraph" w:customStyle="1" w:styleId="171">
    <w:name w:val="样式1"/>
    <w:basedOn w:val="6"/>
    <w:qFormat/>
    <w:uiPriority w:val="0"/>
    <w:pPr>
      <w:keepLines w:val="0"/>
      <w:widowControl/>
      <w:numPr>
        <w:ilvl w:val="1"/>
        <w:numId w:val="5"/>
      </w:numPr>
      <w:tabs>
        <w:tab w:val="left" w:pos="1145"/>
      </w:tabs>
      <w:spacing w:before="100" w:beforeAutospacing="1" w:after="100" w:afterAutospacing="1" w:line="240" w:lineRule="auto"/>
      <w:ind w:left="992" w:right="100" w:rightChars="100" w:hanging="567"/>
      <w:jc w:val="left"/>
    </w:pPr>
    <w:rPr>
      <w:rFonts w:ascii="Cambria" w:hAnsi="Cambria" w:eastAsia="宋体"/>
      <w:i/>
      <w:iCs/>
      <w:sz w:val="21"/>
      <w:szCs w:val="28"/>
    </w:rPr>
  </w:style>
  <w:style w:type="paragraph" w:customStyle="1" w:styleId="172">
    <w:name w:val="方案正文"/>
    <w:basedOn w:val="1"/>
    <w:qFormat/>
    <w:uiPriority w:val="0"/>
    <w:pPr>
      <w:autoSpaceDE w:val="0"/>
      <w:autoSpaceDN w:val="0"/>
      <w:adjustRightInd w:val="0"/>
      <w:spacing w:before="60"/>
    </w:pPr>
    <w:rPr>
      <w:rFonts w:ascii="宋体" w:hAnsi="宋体"/>
      <w:bCs/>
      <w:color w:val="000000"/>
      <w:spacing w:val="2"/>
      <w:kern w:val="0"/>
      <w:sz w:val="24"/>
    </w:rPr>
  </w:style>
  <w:style w:type="paragraph" w:customStyle="1" w:styleId="173">
    <w:name w:val="样式"/>
    <w:basedOn w:val="1"/>
    <w:next w:val="174"/>
    <w:qFormat/>
    <w:uiPriority w:val="99"/>
    <w:pPr>
      <w:ind w:firstLine="420" w:firstLineChars="200"/>
    </w:pPr>
    <w:rPr>
      <w:rFonts w:ascii="Calibri" w:hAnsi="Calibri"/>
      <w:szCs w:val="22"/>
    </w:rPr>
  </w:style>
  <w:style w:type="paragraph" w:customStyle="1" w:styleId="174">
    <w:name w:val="列出段落3"/>
    <w:basedOn w:val="1"/>
    <w:qFormat/>
    <w:uiPriority w:val="99"/>
    <w:pPr>
      <w:ind w:firstLine="420" w:firstLineChars="200"/>
    </w:pPr>
  </w:style>
  <w:style w:type="paragraph" w:customStyle="1" w:styleId="175">
    <w:name w:val="无间隔1"/>
    <w:qFormat/>
    <w:uiPriority w:val="1"/>
    <w:rPr>
      <w:rFonts w:ascii="Calibri" w:hAnsi="Calibri" w:eastAsia="宋体" w:cs="Times New Roman"/>
      <w:sz w:val="22"/>
      <w:szCs w:val="22"/>
      <w:lang w:val="en-US" w:eastAsia="zh-CN" w:bidi="ar-SA"/>
    </w:rPr>
  </w:style>
  <w:style w:type="paragraph" w:customStyle="1" w:styleId="176">
    <w:name w:val="_Style 28"/>
    <w:basedOn w:val="1"/>
    <w:qFormat/>
    <w:uiPriority w:val="0"/>
    <w:pPr>
      <w:ind w:firstLine="420" w:firstLineChars="200"/>
    </w:pPr>
  </w:style>
  <w:style w:type="paragraph" w:customStyle="1" w:styleId="177">
    <w:name w:val="Item List"/>
    <w:qFormat/>
    <w:uiPriority w:val="0"/>
    <w:pPr>
      <w:tabs>
        <w:tab w:val="left" w:pos="425"/>
      </w:tabs>
      <w:ind w:left="425" w:hanging="425"/>
      <w:jc w:val="both"/>
    </w:pPr>
    <w:rPr>
      <w:rFonts w:ascii="Arial" w:hAnsi="Arial" w:eastAsia="宋体" w:cs="Times New Roman"/>
      <w:lang w:val="en-US" w:eastAsia="zh-CN" w:bidi="ar-SA"/>
    </w:rPr>
  </w:style>
  <w:style w:type="paragraph" w:customStyle="1" w:styleId="178">
    <w:name w:val="列出段落111"/>
    <w:basedOn w:val="1"/>
    <w:qFormat/>
    <w:uiPriority w:val="34"/>
    <w:pPr>
      <w:tabs>
        <w:tab w:val="left" w:pos="1440"/>
      </w:tabs>
    </w:pPr>
    <w:rPr>
      <w:rFonts w:ascii="宋体" w:hAnsi="宋体" w:eastAsia="仿宋_GB2312"/>
      <w:color w:val="000000"/>
      <w:kern w:val="0"/>
      <w:sz w:val="28"/>
      <w:szCs w:val="20"/>
    </w:rPr>
  </w:style>
  <w:style w:type="paragraph" w:customStyle="1" w:styleId="179">
    <w:name w:val="Char2"/>
    <w:basedOn w:val="1"/>
    <w:qFormat/>
    <w:uiPriority w:val="0"/>
    <w:pPr>
      <w:widowControl/>
      <w:numPr>
        <w:ilvl w:val="0"/>
        <w:numId w:val="6"/>
      </w:numPr>
      <w:tabs>
        <w:tab w:val="clear" w:pos="620"/>
      </w:tabs>
      <w:spacing w:after="160" w:line="240" w:lineRule="exact"/>
      <w:ind w:left="0" w:firstLine="0"/>
      <w:jc w:val="left"/>
    </w:pPr>
    <w:rPr>
      <w:rFonts w:ascii="Verdana" w:hAnsi="Verdana" w:eastAsia="仿宋_GB2312"/>
      <w:kern w:val="0"/>
      <w:sz w:val="24"/>
      <w:szCs w:val="20"/>
      <w:lang w:eastAsia="en-US"/>
    </w:rPr>
  </w:style>
  <w:style w:type="paragraph" w:customStyle="1" w:styleId="180">
    <w:name w:val="Char11"/>
    <w:basedOn w:val="17"/>
    <w:qFormat/>
    <w:uiPriority w:val="0"/>
    <w:rPr>
      <w:rFonts w:ascii="Tahoma" w:hAnsi="Tahoma"/>
      <w:sz w:val="24"/>
    </w:rPr>
  </w:style>
  <w:style w:type="paragraph" w:customStyle="1" w:styleId="181">
    <w:name w:val="测试文件样式1"/>
    <w:basedOn w:val="1"/>
    <w:qFormat/>
    <w:uiPriority w:val="0"/>
    <w:pPr>
      <w:numPr>
        <w:ilvl w:val="0"/>
        <w:numId w:val="7"/>
      </w:numPr>
      <w:spacing w:line="360" w:lineRule="auto"/>
    </w:pPr>
    <w:rPr>
      <w:kern w:val="0"/>
      <w:sz w:val="20"/>
      <w:szCs w:val="20"/>
    </w:rPr>
  </w:style>
  <w:style w:type="paragraph" w:customStyle="1" w:styleId="182">
    <w:name w:val="标题3"/>
    <w:basedOn w:val="1"/>
    <w:next w:val="1"/>
    <w:qFormat/>
    <w:uiPriority w:val="0"/>
    <w:pPr>
      <w:widowControl/>
      <w:tabs>
        <w:tab w:val="left" w:pos="1205"/>
      </w:tabs>
      <w:spacing w:after="200" w:line="360" w:lineRule="auto"/>
      <w:ind w:left="1205" w:hanging="425"/>
      <w:jc w:val="left"/>
    </w:pPr>
    <w:rPr>
      <w:rFonts w:ascii="Calibri" w:hAnsi="Calibri"/>
      <w:b/>
      <w:kern w:val="0"/>
      <w:sz w:val="28"/>
      <w:szCs w:val="22"/>
      <w:lang w:eastAsia="en-US" w:bidi="en-US"/>
    </w:rPr>
  </w:style>
  <w:style w:type="paragraph" w:customStyle="1" w:styleId="183">
    <w:name w:val="正文标题"/>
    <w:basedOn w:val="1"/>
    <w:qFormat/>
    <w:uiPriority w:val="0"/>
    <w:pPr>
      <w:jc w:val="center"/>
    </w:pPr>
    <w:rPr>
      <w:b/>
      <w:kern w:val="0"/>
      <w:sz w:val="44"/>
    </w:rPr>
  </w:style>
  <w:style w:type="paragraph" w:customStyle="1" w:styleId="184">
    <w:name w:val="正文字缩2字"/>
    <w:basedOn w:val="185"/>
    <w:qFormat/>
    <w:uiPriority w:val="0"/>
    <w:pPr>
      <w:ind w:left="200" w:leftChars="200"/>
    </w:pPr>
  </w:style>
  <w:style w:type="paragraph" w:customStyle="1" w:styleId="185">
    <w:name w:val="正文字缩1字"/>
    <w:basedOn w:val="1"/>
    <w:qFormat/>
    <w:uiPriority w:val="0"/>
    <w:pPr>
      <w:numPr>
        <w:ilvl w:val="0"/>
        <w:numId w:val="8"/>
      </w:numPr>
      <w:tabs>
        <w:tab w:val="clear" w:pos="720"/>
      </w:tabs>
      <w:spacing w:before="60" w:after="60" w:line="360" w:lineRule="auto"/>
      <w:ind w:left="100" w:leftChars="100" w:right="26" w:firstLine="200" w:firstLineChars="200"/>
    </w:pPr>
    <w:rPr>
      <w:kern w:val="0"/>
      <w:sz w:val="24"/>
    </w:rPr>
  </w:style>
  <w:style w:type="paragraph" w:customStyle="1" w:styleId="186">
    <w:name w:val="Char Char Char Char Char Char Char Char Char Char"/>
    <w:basedOn w:val="1"/>
    <w:qFormat/>
    <w:uiPriority w:val="0"/>
    <w:pPr>
      <w:numPr>
        <w:ilvl w:val="0"/>
        <w:numId w:val="9"/>
      </w:numPr>
      <w:tabs>
        <w:tab w:val="clear" w:pos="425"/>
      </w:tabs>
      <w:ind w:left="0" w:firstLine="0"/>
    </w:pPr>
    <w:rPr>
      <w:kern w:val="0"/>
      <w:sz w:val="20"/>
      <w:szCs w:val="20"/>
    </w:rPr>
  </w:style>
  <w:style w:type="paragraph" w:customStyle="1" w:styleId="187">
    <w:name w:val="Char Char Char Char"/>
    <w:basedOn w:val="1"/>
    <w:qFormat/>
    <w:uiPriority w:val="0"/>
    <w:rPr>
      <w:rFonts w:ascii="Tahoma" w:hAnsi="Tahoma"/>
      <w:sz w:val="24"/>
      <w:szCs w:val="20"/>
    </w:rPr>
  </w:style>
  <w:style w:type="paragraph" w:customStyle="1" w:styleId="18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8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0">
    <w:name w:val="正文8"/>
    <w:basedOn w:val="191"/>
    <w:qFormat/>
    <w:uiPriority w:val="0"/>
    <w:pPr>
      <w:numPr>
        <w:numId w:val="0"/>
      </w:numPr>
      <w:ind w:left="1176" w:right="0"/>
    </w:pPr>
  </w:style>
  <w:style w:type="paragraph" w:customStyle="1" w:styleId="191">
    <w:name w:val="正文4"/>
    <w:basedOn w:val="1"/>
    <w:qFormat/>
    <w:uiPriority w:val="0"/>
    <w:pPr>
      <w:numPr>
        <w:ilvl w:val="0"/>
        <w:numId w:val="10"/>
      </w:numPr>
      <w:spacing w:before="60" w:after="60" w:line="360" w:lineRule="auto"/>
      <w:ind w:left="820" w:leftChars="400" w:right="26"/>
    </w:pPr>
    <w:rPr>
      <w:kern w:val="0"/>
      <w:sz w:val="24"/>
    </w:rPr>
  </w:style>
  <w:style w:type="paragraph" w:customStyle="1" w:styleId="192">
    <w:name w:val="标题 3.5"/>
    <w:basedOn w:val="7"/>
    <w:qFormat/>
    <w:uiPriority w:val="0"/>
    <w:pPr>
      <w:keepNext w:val="0"/>
      <w:keepLines w:val="0"/>
      <w:spacing w:before="0" w:after="0" w:line="600" w:lineRule="exact"/>
      <w:outlineLvl w:val="9"/>
    </w:pPr>
    <w:rPr>
      <w:rFonts w:eastAsia="仿宋_GB2312"/>
      <w:b w:val="0"/>
      <w:bCs w:val="0"/>
      <w:sz w:val="31"/>
      <w:szCs w:val="20"/>
    </w:rPr>
  </w:style>
  <w:style w:type="paragraph" w:customStyle="1" w:styleId="193">
    <w:name w:val="题注5"/>
    <w:basedOn w:val="1"/>
    <w:next w:val="16"/>
    <w:qFormat/>
    <w:uiPriority w:val="0"/>
    <w:pPr>
      <w:jc w:val="center"/>
    </w:pPr>
    <w:rPr>
      <w:b/>
      <w:color w:val="000000"/>
      <w:kern w:val="0"/>
      <w:sz w:val="24"/>
      <w:szCs w:val="21"/>
    </w:rPr>
  </w:style>
  <w:style w:type="paragraph" w:customStyle="1" w:styleId="19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TOC 标题1"/>
    <w:basedOn w:val="5"/>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9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7">
    <w:name w:val="正文编号1"/>
    <w:basedOn w:val="1"/>
    <w:qFormat/>
    <w:uiPriority w:val="0"/>
    <w:pPr>
      <w:numPr>
        <w:ilvl w:val="0"/>
        <w:numId w:val="11"/>
      </w:numPr>
      <w:spacing w:line="360" w:lineRule="auto"/>
    </w:pPr>
    <w:rPr>
      <w:kern w:val="0"/>
      <w:sz w:val="24"/>
    </w:rPr>
  </w:style>
  <w:style w:type="paragraph" w:customStyle="1" w:styleId="198">
    <w:name w:val="Char Char3"/>
    <w:basedOn w:val="1"/>
    <w:qFormat/>
    <w:uiPriority w:val="0"/>
    <w:pPr>
      <w:widowControl/>
      <w:spacing w:after="160" w:line="240" w:lineRule="exact"/>
      <w:jc w:val="center"/>
    </w:pPr>
  </w:style>
  <w:style w:type="paragraph" w:customStyle="1" w:styleId="199">
    <w:name w:val="正文 A"/>
    <w:qFormat/>
    <w:uiPriority w:val="0"/>
    <w:pPr>
      <w:spacing w:line="312" w:lineRule="auto"/>
    </w:pPr>
    <w:rPr>
      <w:rFonts w:ascii="Cambria" w:hAnsi="Cambria" w:eastAsia="Cambria" w:cs="Cambria"/>
      <w:color w:val="000000"/>
      <w:sz w:val="28"/>
      <w:szCs w:val="28"/>
      <w:u w:color="000000"/>
      <w:lang w:val="en-US" w:eastAsia="zh-CN" w:bidi="ar-SA"/>
    </w:rPr>
  </w:style>
  <w:style w:type="paragraph" w:customStyle="1" w:styleId="200">
    <w:name w:val="Char Char Char1"/>
    <w:basedOn w:val="1"/>
    <w:qFormat/>
    <w:uiPriority w:val="0"/>
    <w:rPr>
      <w:rFonts w:ascii="Tahoma" w:hAnsi="Tahoma"/>
      <w:b/>
      <w:kern w:val="0"/>
      <w:sz w:val="28"/>
      <w:szCs w:val="20"/>
    </w:rPr>
  </w:style>
  <w:style w:type="paragraph" w:customStyle="1" w:styleId="201">
    <w:name w:val="Char Char Char Char Char"/>
    <w:basedOn w:val="1"/>
    <w:qFormat/>
    <w:uiPriority w:val="0"/>
    <w:pPr>
      <w:widowControl/>
      <w:spacing w:after="160" w:line="240" w:lineRule="exact"/>
      <w:jc w:val="left"/>
    </w:pPr>
    <w:rPr>
      <w:kern w:val="0"/>
      <w:sz w:val="24"/>
      <w:lang w:eastAsia="en-US"/>
    </w:rPr>
  </w:style>
  <w:style w:type="paragraph" w:customStyle="1" w:styleId="202">
    <w:name w:val="一级节标题"/>
    <w:next w:val="203"/>
    <w:qFormat/>
    <w:uiPriority w:val="0"/>
    <w:pPr>
      <w:tabs>
        <w:tab w:val="left" w:pos="420"/>
        <w:tab w:val="left" w:pos="567"/>
      </w:tabs>
      <w:spacing w:line="360" w:lineRule="auto"/>
      <w:ind w:left="420" w:hanging="420"/>
      <w:outlineLvl w:val="2"/>
    </w:pPr>
    <w:rPr>
      <w:rFonts w:ascii="宋体" w:hAnsi="宋体" w:eastAsia="宋体" w:cs="Times New Roman"/>
      <w:b/>
      <w:sz w:val="24"/>
      <w:lang w:val="en-US" w:eastAsia="zh-CN" w:bidi="ar-SA"/>
    </w:rPr>
  </w:style>
  <w:style w:type="paragraph" w:customStyle="1" w:styleId="203">
    <w:name w:val="正文1"/>
    <w:basedOn w:val="1"/>
    <w:qFormat/>
    <w:uiPriority w:val="0"/>
    <w:rPr>
      <w:kern w:val="0"/>
      <w:sz w:val="20"/>
      <w:szCs w:val="20"/>
    </w:rPr>
  </w:style>
  <w:style w:type="paragraph" w:customStyle="1" w:styleId="204">
    <w:name w:val="Pa12"/>
    <w:basedOn w:val="196"/>
    <w:next w:val="196"/>
    <w:qFormat/>
    <w:uiPriority w:val="99"/>
    <w:pPr>
      <w:widowControl/>
      <w:spacing w:line="151" w:lineRule="atLeast"/>
    </w:pPr>
    <w:rPr>
      <w:rFonts w:ascii="Linotype Univers 330 Light" w:hAnsi="Linotype Univers 330 Light" w:cs="Times New Roman"/>
      <w:color w:val="auto"/>
    </w:rPr>
  </w:style>
  <w:style w:type="paragraph" w:customStyle="1" w:styleId="205">
    <w:name w:val="样式 (中文) +中文正文 行距: 1.5 倍行距 首行缩进:  1.5 字符"/>
    <w:basedOn w:val="1"/>
    <w:qFormat/>
    <w:uiPriority w:val="0"/>
    <w:pPr>
      <w:ind w:firstLine="150" w:firstLineChars="150"/>
    </w:pPr>
    <w:rPr>
      <w:rFonts w:ascii="Calibri" w:hAnsi="Calibri" w:cs="宋体"/>
      <w:szCs w:val="20"/>
    </w:rPr>
  </w:style>
  <w:style w:type="paragraph" w:customStyle="1" w:styleId="206">
    <w:name w:val="正文6"/>
    <w:basedOn w:val="1"/>
    <w:qFormat/>
    <w:uiPriority w:val="0"/>
    <w:pPr>
      <w:numPr>
        <w:ilvl w:val="0"/>
        <w:numId w:val="12"/>
      </w:numPr>
      <w:spacing w:before="60" w:after="60" w:line="360" w:lineRule="auto"/>
      <w:ind w:left="1020" w:leftChars="600" w:right="26"/>
    </w:pPr>
    <w:rPr>
      <w:kern w:val="0"/>
      <w:sz w:val="24"/>
    </w:rPr>
  </w:style>
  <w:style w:type="paragraph" w:customStyle="1" w:styleId="207">
    <w:name w:val="_Style 1"/>
    <w:basedOn w:val="1"/>
    <w:qFormat/>
    <w:uiPriority w:val="0"/>
    <w:pPr>
      <w:spacing w:line="360" w:lineRule="auto"/>
      <w:ind w:firstLine="420" w:firstLineChars="200"/>
    </w:pPr>
    <w:rPr>
      <w:rFonts w:ascii="Calibri" w:hAnsi="Calibri"/>
      <w:szCs w:val="22"/>
    </w:rPr>
  </w:style>
  <w:style w:type="paragraph" w:customStyle="1" w:styleId="208">
    <w:name w:val="说明"/>
    <w:basedOn w:val="1"/>
    <w:qFormat/>
    <w:uiPriority w:val="0"/>
    <w:pPr>
      <w:spacing w:before="60" w:after="60" w:line="360" w:lineRule="auto"/>
      <w:ind w:firstLine="200" w:firstLineChars="200"/>
    </w:pPr>
    <w:rPr>
      <w:rFonts w:eastAsia="楷体_GB2312"/>
      <w:kern w:val="0"/>
      <w:sz w:val="20"/>
    </w:rPr>
  </w:style>
  <w:style w:type="paragraph" w:customStyle="1" w:styleId="209">
    <w:name w:val="正文缩进4格"/>
    <w:basedOn w:val="114"/>
    <w:qFormat/>
    <w:uiPriority w:val="0"/>
    <w:pPr>
      <w:ind w:left="2" w:firstLine="538" w:firstLineChars="192"/>
    </w:pPr>
    <w:rPr>
      <w:color w:val="0000FF"/>
      <w:sz w:val="28"/>
    </w:rPr>
  </w:style>
  <w:style w:type="paragraph" w:customStyle="1" w:styleId="210">
    <w:name w:val="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样式 首行缩进:  2 字符"/>
    <w:basedOn w:val="1"/>
    <w:qFormat/>
    <w:uiPriority w:val="0"/>
    <w:pPr>
      <w:numPr>
        <w:ilvl w:val="0"/>
        <w:numId w:val="13"/>
      </w:numPr>
      <w:tabs>
        <w:tab w:val="clear" w:pos="520"/>
      </w:tabs>
      <w:ind w:left="0" w:firstLine="420" w:firstLineChars="200"/>
    </w:pPr>
    <w:rPr>
      <w:kern w:val="0"/>
      <w:sz w:val="20"/>
      <w:szCs w:val="20"/>
    </w:rPr>
  </w:style>
  <w:style w:type="paragraph" w:customStyle="1" w:styleId="212">
    <w:name w:val="注意事项"/>
    <w:basedOn w:val="1"/>
    <w:qFormat/>
    <w:uiPriority w:val="0"/>
    <w:pPr>
      <w:spacing w:before="60" w:after="60" w:line="360" w:lineRule="auto"/>
      <w:ind w:firstLine="200" w:firstLineChars="200"/>
    </w:pPr>
    <w:rPr>
      <w:b/>
      <w:bCs/>
      <w:kern w:val="0"/>
      <w:sz w:val="20"/>
    </w:rPr>
  </w:style>
  <w:style w:type="paragraph" w:customStyle="1" w:styleId="213">
    <w:name w:val="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
    <w:name w:val="样式 小四 加粗 行距: 多倍行距 1.25 字行"/>
    <w:basedOn w:val="1"/>
    <w:qFormat/>
    <w:uiPriority w:val="0"/>
    <w:pPr>
      <w:tabs>
        <w:tab w:val="left" w:pos="425"/>
        <w:tab w:val="left" w:pos="960"/>
      </w:tabs>
      <w:spacing w:beforeLines="50" w:afterLines="50" w:line="300" w:lineRule="auto"/>
    </w:pPr>
    <w:rPr>
      <w:rFonts w:cs="宋体"/>
      <w:b/>
      <w:bCs/>
      <w:sz w:val="24"/>
      <w:szCs w:val="20"/>
    </w:rPr>
  </w:style>
  <w:style w:type="paragraph" w:customStyle="1" w:styleId="215">
    <w:name w:val="列表内容"/>
    <w:basedOn w:val="1"/>
    <w:next w:val="1"/>
    <w:qFormat/>
    <w:uiPriority w:val="0"/>
    <w:pPr>
      <w:widowControl/>
      <w:numPr>
        <w:ilvl w:val="1"/>
        <w:numId w:val="14"/>
      </w:numPr>
      <w:tabs>
        <w:tab w:val="clear" w:pos="2558"/>
      </w:tabs>
      <w:ind w:left="1205" w:hanging="425"/>
      <w:jc w:val="left"/>
    </w:pPr>
    <w:rPr>
      <w:kern w:val="0"/>
      <w:sz w:val="18"/>
      <w:szCs w:val="20"/>
    </w:rPr>
  </w:style>
  <w:style w:type="paragraph" w:customStyle="1" w:styleId="216">
    <w:name w:val="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正文缩进6格"/>
    <w:basedOn w:val="209"/>
    <w:qFormat/>
    <w:uiPriority w:val="0"/>
    <w:pPr>
      <w:ind w:left="1758" w:leftChars="854"/>
    </w:pPr>
  </w:style>
  <w:style w:type="paragraph" w:customStyle="1" w:styleId="21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p0"/>
    <w:basedOn w:val="1"/>
    <w:qFormat/>
    <w:uiPriority w:val="0"/>
    <w:pPr>
      <w:widowControl/>
    </w:pPr>
    <w:rPr>
      <w:rFonts w:ascii="Calibri" w:hAnsi="Calibri"/>
      <w:kern w:val="0"/>
      <w:szCs w:val="21"/>
    </w:rPr>
  </w:style>
  <w:style w:type="paragraph" w:customStyle="1" w:styleId="220">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21">
    <w:name w:val="正文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222">
    <w:name w:val="列出段落31"/>
    <w:basedOn w:val="1"/>
    <w:qFormat/>
    <w:uiPriority w:val="99"/>
    <w:pPr>
      <w:ind w:firstLine="420" w:firstLineChars="200"/>
    </w:pPr>
    <w:rPr>
      <w:kern w:val="0"/>
      <w:sz w:val="20"/>
      <w:szCs w:val="20"/>
    </w:rPr>
  </w:style>
  <w:style w:type="paragraph" w:customStyle="1" w:styleId="223">
    <w:name w:val="正文7"/>
    <w:basedOn w:val="206"/>
    <w:qFormat/>
    <w:uiPriority w:val="0"/>
    <w:pPr>
      <w:numPr>
        <w:numId w:val="15"/>
      </w:numPr>
      <w:ind w:left="1120" w:leftChars="700"/>
    </w:pPr>
  </w:style>
  <w:style w:type="paragraph" w:customStyle="1" w:styleId="224">
    <w:name w:val="_Style 2"/>
    <w:basedOn w:val="1"/>
    <w:qFormat/>
    <w:uiPriority w:val="0"/>
    <w:pPr>
      <w:spacing w:line="360" w:lineRule="auto"/>
      <w:ind w:firstLine="420" w:firstLineChars="200"/>
    </w:pPr>
    <w:rPr>
      <w:rFonts w:ascii="Calibri" w:hAnsi="Calibri" w:cs="宋体"/>
      <w:szCs w:val="22"/>
    </w:rPr>
  </w:style>
  <w:style w:type="paragraph" w:customStyle="1" w:styleId="225">
    <w:name w:val="s6"/>
    <w:basedOn w:val="1"/>
    <w:qFormat/>
    <w:uiPriority w:val="0"/>
    <w:pPr>
      <w:widowControl/>
      <w:spacing w:before="100" w:beforeAutospacing="1" w:after="100" w:afterAutospacing="1"/>
      <w:jc w:val="left"/>
    </w:pPr>
    <w:rPr>
      <w:rFonts w:ascii="宋体" w:hAnsi="宋体" w:cs="宋体"/>
      <w:kern w:val="0"/>
      <w:sz w:val="24"/>
    </w:rPr>
  </w:style>
  <w:style w:type="paragraph" w:customStyle="1" w:styleId="226">
    <w:name w:val="正文3"/>
    <w:basedOn w:val="1"/>
    <w:qFormat/>
    <w:uiPriority w:val="0"/>
    <w:pPr>
      <w:spacing w:before="60" w:after="60" w:line="360" w:lineRule="auto"/>
      <w:outlineLvl w:val="8"/>
    </w:pPr>
    <w:rPr>
      <w:kern w:val="0"/>
      <w:sz w:val="24"/>
      <w:szCs w:val="21"/>
    </w:rPr>
  </w:style>
  <w:style w:type="paragraph" w:customStyle="1" w:styleId="227">
    <w:name w:val="Char Char"/>
    <w:basedOn w:val="1"/>
    <w:qFormat/>
    <w:uiPriority w:val="0"/>
    <w:rPr>
      <w:rFonts w:ascii="Tahoma" w:hAnsi="Tahoma" w:cs="Arial"/>
      <w:kern w:val="0"/>
      <w:sz w:val="24"/>
      <w:szCs w:val="21"/>
    </w:rPr>
  </w:style>
  <w:style w:type="paragraph" w:customStyle="1" w:styleId="228">
    <w:name w:val="文章题目"/>
    <w:basedOn w:val="1"/>
    <w:next w:val="26"/>
    <w:qFormat/>
    <w:uiPriority w:val="0"/>
    <w:pPr>
      <w:spacing w:before="200" w:after="100"/>
      <w:jc w:val="center"/>
      <w:outlineLvl w:val="0"/>
    </w:pPr>
    <w:rPr>
      <w:rFonts w:eastAsia="楷体_GB2312"/>
      <w:kern w:val="0"/>
      <w:sz w:val="44"/>
    </w:rPr>
  </w:style>
  <w:style w:type="paragraph" w:customStyle="1" w:styleId="229">
    <w:name w:val="正文11"/>
    <w:basedOn w:val="1"/>
    <w:qFormat/>
    <w:uiPriority w:val="0"/>
    <w:pPr>
      <w:spacing w:before="60" w:after="60" w:line="360" w:lineRule="auto"/>
      <w:outlineLvl w:val="6"/>
    </w:pPr>
    <w:rPr>
      <w:kern w:val="0"/>
      <w:sz w:val="24"/>
    </w:rPr>
  </w:style>
  <w:style w:type="paragraph" w:customStyle="1" w:styleId="230">
    <w:name w:val="标题4"/>
    <w:basedOn w:val="114"/>
    <w:qFormat/>
    <w:uiPriority w:val="0"/>
    <w:pPr>
      <w:spacing w:line="540" w:lineRule="exact"/>
      <w:ind w:firstLine="0" w:firstLineChars="0"/>
    </w:pPr>
    <w:rPr>
      <w:rFonts w:hAnsi="Times New Roman"/>
    </w:rPr>
  </w:style>
  <w:style w:type="paragraph" w:customStyle="1" w:styleId="231">
    <w:name w:val="三级节标题"/>
    <w:next w:val="203"/>
    <w:qFormat/>
    <w:uiPriority w:val="0"/>
    <w:pPr>
      <w:numPr>
        <w:ilvl w:val="3"/>
        <w:numId w:val="16"/>
      </w:numPr>
      <w:spacing w:before="120" w:after="120" w:line="400" w:lineRule="atLeast"/>
      <w:outlineLvl w:val="3"/>
    </w:pPr>
    <w:rPr>
      <w:rFonts w:ascii="Arial" w:hAnsi="Arial" w:eastAsia="黑体" w:cs="Times New Roman"/>
      <w:b/>
      <w:sz w:val="28"/>
      <w:lang w:val="en-US" w:eastAsia="zh-CN" w:bidi="ar-SA"/>
    </w:rPr>
  </w:style>
  <w:style w:type="paragraph" w:customStyle="1" w:styleId="232">
    <w:name w:val="Table Paragraph"/>
    <w:basedOn w:val="1"/>
    <w:qFormat/>
    <w:uiPriority w:val="1"/>
    <w:pPr>
      <w:autoSpaceDE w:val="0"/>
      <w:autoSpaceDN w:val="0"/>
      <w:jc w:val="left"/>
    </w:pPr>
    <w:rPr>
      <w:rFonts w:ascii="新宋体" w:hAnsi="新宋体" w:eastAsia="新宋体" w:cs="新宋体"/>
      <w:kern w:val="0"/>
      <w:sz w:val="22"/>
      <w:szCs w:val="22"/>
      <w:lang w:val="zh-CN" w:bidi="zh-CN"/>
    </w:rPr>
  </w:style>
  <w:style w:type="paragraph" w:customStyle="1" w:styleId="233">
    <w:name w:val="正文5"/>
    <w:basedOn w:val="1"/>
    <w:qFormat/>
    <w:uiPriority w:val="0"/>
    <w:pPr>
      <w:numPr>
        <w:ilvl w:val="0"/>
        <w:numId w:val="17"/>
      </w:numPr>
      <w:tabs>
        <w:tab w:val="clear" w:pos="900"/>
      </w:tabs>
      <w:spacing w:before="60" w:after="60" w:line="360" w:lineRule="auto"/>
      <w:ind w:left="920" w:leftChars="500" w:right="26"/>
    </w:pPr>
    <w:rPr>
      <w:kern w:val="0"/>
      <w:sz w:val="24"/>
    </w:rPr>
  </w:style>
  <w:style w:type="paragraph" w:customStyle="1" w:styleId="234">
    <w:name w:val="s3"/>
    <w:basedOn w:val="1"/>
    <w:qFormat/>
    <w:uiPriority w:val="0"/>
    <w:pPr>
      <w:widowControl/>
      <w:spacing w:before="100" w:beforeAutospacing="1" w:after="100" w:afterAutospacing="1"/>
      <w:jc w:val="left"/>
    </w:pPr>
    <w:rPr>
      <w:rFonts w:ascii="宋体" w:hAnsi="宋体" w:cs="宋体"/>
      <w:kern w:val="0"/>
      <w:sz w:val="24"/>
    </w:rPr>
  </w:style>
  <w:style w:type="paragraph" w:customStyle="1" w:styleId="235">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0"/>
    </w:rPr>
  </w:style>
  <w:style w:type="table" w:customStyle="1" w:styleId="236">
    <w:name w:val="浅色底纹 - 强调文字颜色 11"/>
    <w:basedOn w:val="47"/>
    <w:qFormat/>
    <w:uiPriority w:val="60"/>
    <w:rPr>
      <w:rFonts w:ascii="Calibri" w:hAnsi="Calibri"/>
      <w:color w:val="4F81BD"/>
      <w:sz w:val="22"/>
      <w:szCs w:val="22"/>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styleId="237">
    <w:name w:val="List Paragraph"/>
    <w:basedOn w:val="1"/>
    <w:qFormat/>
    <w:uiPriority w:val="34"/>
    <w:pPr>
      <w:widowControl/>
      <w:ind w:firstLine="420" w:firstLineChars="200"/>
      <w:jc w:val="left"/>
    </w:pPr>
    <w:rPr>
      <w:rFonts w:ascii="Calibri" w:hAnsi="Calibri" w:cs="Arial"/>
      <w:kern w:val="0"/>
      <w:sz w:val="20"/>
      <w:szCs w:val="20"/>
    </w:rPr>
  </w:style>
  <w:style w:type="character" w:customStyle="1" w:styleId="238">
    <w:name w:val="font12"/>
    <w:basedOn w:val="49"/>
    <w:qFormat/>
    <w:uiPriority w:val="0"/>
    <w:rPr>
      <w:rFonts w:hint="eastAsia" w:ascii="宋体" w:hAnsi="宋体" w:eastAsia="宋体" w:cs="宋体"/>
      <w:b/>
      <w:color w:val="000000"/>
      <w:sz w:val="24"/>
      <w:szCs w:val="24"/>
      <w:u w:val="none"/>
    </w:rPr>
  </w:style>
  <w:style w:type="character" w:customStyle="1" w:styleId="239">
    <w:name w:val="font151"/>
    <w:basedOn w:val="49"/>
    <w:qFormat/>
    <w:uiPriority w:val="0"/>
    <w:rPr>
      <w:rFonts w:hint="eastAsia" w:ascii="宋体" w:hAnsi="宋体" w:eastAsia="宋体" w:cs="宋体"/>
      <w:color w:val="000000"/>
      <w:sz w:val="20"/>
      <w:szCs w:val="20"/>
      <w:u w:val="none"/>
    </w:rPr>
  </w:style>
  <w:style w:type="character" w:customStyle="1" w:styleId="240">
    <w:name w:val="font131"/>
    <w:basedOn w:val="49"/>
    <w:qFormat/>
    <w:uiPriority w:val="0"/>
    <w:rPr>
      <w:rFonts w:hint="eastAsia" w:ascii="宋体" w:hAnsi="宋体" w:eastAsia="宋体" w:cs="宋体"/>
      <w:color w:val="000000"/>
      <w:sz w:val="20"/>
      <w:szCs w:val="20"/>
      <w:u w:val="none"/>
    </w:rPr>
  </w:style>
  <w:style w:type="character" w:customStyle="1" w:styleId="241">
    <w:name w:val="font191"/>
    <w:basedOn w:val="49"/>
    <w:qFormat/>
    <w:uiPriority w:val="0"/>
    <w:rPr>
      <w:rFonts w:hint="eastAsia" w:ascii="宋体" w:hAnsi="宋体" w:eastAsia="宋体" w:cs="宋体"/>
      <w:b/>
      <w:color w:val="000000"/>
      <w:sz w:val="22"/>
      <w:szCs w:val="22"/>
      <w:u w:val="none"/>
    </w:rPr>
  </w:style>
  <w:style w:type="paragraph" w:customStyle="1" w:styleId="242">
    <w:name w:val="编号"/>
    <w:basedOn w:val="1"/>
    <w:next w:val="237"/>
    <w:qFormat/>
    <w:uiPriority w:val="0"/>
    <w:pPr>
      <w:ind w:firstLine="420" w:firstLineChars="200"/>
    </w:pPr>
    <w:rPr>
      <w:kern w:val="0"/>
      <w:sz w:val="20"/>
      <w:lang w:val="zh-CN"/>
    </w:rPr>
  </w:style>
  <w:style w:type="character" w:customStyle="1" w:styleId="243">
    <w:name w:val="列表段落 字符1"/>
    <w:link w:val="244"/>
    <w:qFormat/>
    <w:uiPriority w:val="0"/>
    <w:rPr>
      <w:szCs w:val="24"/>
    </w:rPr>
  </w:style>
  <w:style w:type="paragraph" w:customStyle="1" w:styleId="244">
    <w:name w:val="列表段落2"/>
    <w:basedOn w:val="1"/>
    <w:link w:val="243"/>
    <w:qFormat/>
    <w:uiPriority w:val="0"/>
    <w:pPr>
      <w:snapToGrid w:val="0"/>
      <w:ind w:firstLine="420" w:firstLineChars="200"/>
    </w:pPr>
    <w:rPr>
      <w:kern w:val="0"/>
      <w:sz w:val="20"/>
    </w:rPr>
  </w:style>
  <w:style w:type="paragraph" w:customStyle="1" w:styleId="245">
    <w:name w:val="正文缩进2"/>
    <w:basedOn w:val="1"/>
    <w:qFormat/>
    <w:uiPriority w:val="0"/>
    <w:pPr>
      <w:spacing w:line="360" w:lineRule="auto"/>
      <w:ind w:left="510" w:right="27" w:rightChars="27" w:firstLine="454"/>
      <w:jc w:val="left"/>
    </w:pPr>
    <w:rPr>
      <w:rFonts w:ascii="宋体" w:hAnsi="宋体"/>
      <w:sz w:val="24"/>
      <w:szCs w:val="20"/>
    </w:rPr>
  </w:style>
  <w:style w:type="paragraph" w:customStyle="1" w:styleId="246">
    <w:name w:val="正文_0_0_0"/>
    <w:qFormat/>
    <w:uiPriority w:val="0"/>
    <w:pPr>
      <w:widowControl w:val="0"/>
      <w:spacing w:line="360" w:lineRule="auto"/>
      <w:ind w:firstLine="480" w:firstLineChars="200"/>
      <w:jc w:val="both"/>
    </w:pPr>
    <w:rPr>
      <w:rFonts w:ascii="Times New Roman" w:hAnsi="Times New Roman" w:eastAsia="宋体" w:cs="Times New Roman"/>
      <w:kern w:val="2"/>
      <w:sz w:val="24"/>
      <w:szCs w:val="22"/>
      <w:lang w:val="en-US" w:eastAsia="zh-CN" w:bidi="ar-SA"/>
    </w:rPr>
  </w:style>
  <w:style w:type="paragraph" w:customStyle="1" w:styleId="24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8">
    <w:name w:val="&quot;_Style 3&quot;"/>
    <w:basedOn w:val="1"/>
    <w:qFormat/>
    <w:uiPriority w:val="0"/>
    <w:pPr>
      <w:ind w:firstLine="420" w:firstLineChars="200"/>
    </w:pPr>
    <w:rPr>
      <w:rFonts w:ascii="Calibri" w:hAnsi="Calibri" w:cs="Arial"/>
    </w:rPr>
  </w:style>
  <w:style w:type="paragraph" w:customStyle="1" w:styleId="249">
    <w:name w:val="列表段落1"/>
    <w:basedOn w:val="1"/>
    <w:qFormat/>
    <w:uiPriority w:val="34"/>
    <w:pPr>
      <w:adjustRightInd w:val="0"/>
      <w:spacing w:line="360" w:lineRule="atLeast"/>
      <w:ind w:firstLine="420" w:firstLineChars="200"/>
    </w:pPr>
    <w:rPr>
      <w:kern w:val="0"/>
      <w:sz w:val="20"/>
    </w:rPr>
  </w:style>
  <w:style w:type="paragraph" w:customStyle="1" w:styleId="250">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DC1C380-C412-4287-BB32-EFA9C106992D}">
  <ds:schemaRefs/>
</ds:datastoreItem>
</file>

<file path=customXml/itemProps2.xml><?xml version="1.0" encoding="utf-8"?>
<ds:datastoreItem xmlns:ds="http://schemas.openxmlformats.org/officeDocument/2006/customXml" ds:itemID="{623921D5-2A76-41D3-8189-B9F039A31527}">
  <ds:schemaRefs/>
</ds:datastoreItem>
</file>

<file path=customXml/itemProps3.xml><?xml version="1.0" encoding="utf-8"?>
<ds:datastoreItem xmlns:ds="http://schemas.openxmlformats.org/officeDocument/2006/customXml" ds:itemID="{C911B532-5A12-411D-982E-3CA356E21077}">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82</Pages>
  <Words>35302</Words>
  <Characters>36469</Characters>
  <Lines>323</Lines>
  <Paragraphs>90</Paragraphs>
  <TotalTime>11</TotalTime>
  <ScaleCrop>false</ScaleCrop>
  <LinksUpToDate>false</LinksUpToDate>
  <CharactersWithSpaces>39514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2024-06-28T02:11:00Z</dcterms:created>
  <dc:creator>yang</dc:creator>
  <cp:lastModifiedBy>成</cp:lastModifiedBy>
  <cp:lastPrinted>2022-07-19T03:10:00Z</cp:lastPrinted>
  <dcterms:modified xsi:type="dcterms:W3CDTF">2024-06-28T02:38:09Z</dcterms:modified>
  <dc:title>东莞市政府采购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C14C015E3CD24BD2A2363A774FC6CBF6_13</vt:lpwstr>
  </property>
</Properties>
</file>