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9B3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bookmarkStart w:id="1" w:name="_GoBack"/>
      <w:bookmarkEnd w:id="1"/>
    </w:p>
    <w:p w14:paraId="1511F4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2025年市社会组织“阳光雨”党群服务中心</w:t>
      </w:r>
    </w:p>
    <w:p w14:paraId="6D2F97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党建展厅宣传栏更新项目采购需求书</w:t>
      </w:r>
    </w:p>
    <w:p w14:paraId="70B61E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6DD6FA25">
      <w:pPr>
        <w:pStyle w:val="7"/>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一、</w:t>
      </w:r>
      <w:r>
        <w:rPr>
          <w:rFonts w:hint="default" w:ascii="Times New Roman" w:hAnsi="Times New Roman" w:eastAsia="黑体" w:cs="Times New Roman"/>
          <w:b w:val="0"/>
          <w:bCs/>
          <w:sz w:val="32"/>
          <w:szCs w:val="32"/>
        </w:rPr>
        <w:t>项目概况</w:t>
      </w:r>
    </w:p>
    <w:p w14:paraId="1C7B3A88">
      <w:pPr>
        <w:pStyle w:val="7"/>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szCs w:val="28"/>
          <w:lang w:val="en-US" w:eastAsia="zh-CN"/>
        </w:rPr>
        <w:t>市社会组织"阳光雨"党群服务中心党建展厅坐落于东莞市莞城区八达路140号恒丰商业大厦三楼。该党建展厅是全市社会组织党组织学习交流阵地，我们一直致力于创新党建服务，助推社会组织党建提质增效。</w:t>
      </w:r>
      <w:r>
        <w:rPr>
          <w:rFonts w:hint="default" w:ascii="Times New Roman" w:hAnsi="Times New Roman" w:eastAsia="仿宋_GB2312" w:cs="Times New Roman"/>
          <w:sz w:val="32"/>
          <w:szCs w:val="28"/>
          <w:lang w:val="en-US" w:eastAsia="zh-CN"/>
        </w:rPr>
        <w:t>为深入贯彻新时代党的建设总要求，持续加强社会组织党员信念教育</w:t>
      </w:r>
      <w:r>
        <w:rPr>
          <w:rFonts w:hint="eastAsia"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szCs w:val="28"/>
          <w:lang w:val="en-US" w:eastAsia="zh-CN"/>
        </w:rPr>
        <w:t>凝聚奋进力量，更好地服务社会</w:t>
      </w:r>
      <w:r>
        <w:rPr>
          <w:rFonts w:hint="eastAsia" w:ascii="Times New Roman" w:hAnsi="Times New Roman" w:eastAsia="仿宋_GB2312" w:cs="Times New Roman"/>
          <w:sz w:val="32"/>
          <w:szCs w:val="28"/>
          <w:lang w:val="en-US" w:eastAsia="zh-CN"/>
        </w:rPr>
        <w:t>、服务人民</w:t>
      </w:r>
      <w:r>
        <w:rPr>
          <w:rFonts w:hint="default" w:ascii="Times New Roman" w:hAnsi="Times New Roman" w:eastAsia="仿宋_GB2312" w:cs="Times New Roman"/>
          <w:sz w:val="32"/>
          <w:szCs w:val="28"/>
          <w:lang w:val="en-US" w:eastAsia="zh-CN"/>
        </w:rPr>
        <w:t>，</w:t>
      </w:r>
      <w:r>
        <w:rPr>
          <w:rFonts w:hint="default" w:ascii="Times New Roman" w:hAnsi="Times New Roman" w:eastAsia="仿宋_GB2312" w:cs="Times New Roman"/>
          <w:sz w:val="32"/>
          <w:lang w:val="en-US" w:eastAsia="zh-CN"/>
        </w:rPr>
        <w:t>拟</w:t>
      </w:r>
      <w:r>
        <w:rPr>
          <w:rFonts w:hint="eastAsia" w:ascii="Times New Roman" w:hAnsi="Times New Roman" w:eastAsia="仿宋_GB2312" w:cs="Times New Roman"/>
          <w:sz w:val="32"/>
          <w:lang w:val="en-US" w:eastAsia="zh-CN"/>
        </w:rPr>
        <w:t>通过第三方专业机构开展“阳光雨”党群服务中心党建主题宣传栏更新工作，涉及展厅内部四面墙体与走廊通道展示版面改造。</w:t>
      </w:r>
    </w:p>
    <w:p w14:paraId="0D3389CB">
      <w:pPr>
        <w:pStyle w:val="7"/>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二、</w:t>
      </w:r>
      <w:r>
        <w:rPr>
          <w:rFonts w:hint="default" w:ascii="Times New Roman" w:hAnsi="Times New Roman" w:eastAsia="黑体" w:cs="Times New Roman"/>
          <w:b w:val="0"/>
          <w:bCs/>
          <w:sz w:val="32"/>
          <w:szCs w:val="32"/>
        </w:rPr>
        <w:t>服务要求</w:t>
      </w:r>
    </w:p>
    <w:p w14:paraId="735F9E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（一）</w:t>
      </w:r>
      <w:r>
        <w:rPr>
          <w:rFonts w:hint="default" w:ascii="Times New Roman" w:hAnsi="Times New Roman" w:eastAsia="楷体_GB2312" w:cs="Times New Roman"/>
          <w:b w:val="0"/>
          <w:bCs w:val="0"/>
          <w:sz w:val="32"/>
          <w:szCs w:val="32"/>
        </w:rPr>
        <w:t>服务目标</w:t>
      </w:r>
    </w:p>
    <w:p w14:paraId="66DEBB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.旨在</w:t>
      </w:r>
      <w:r>
        <w:rPr>
          <w:rFonts w:hint="eastAsia" w:ascii="Times New Roman" w:hAnsi="Times New Roman" w:eastAsia="仿宋_GB2312" w:cs="Times New Roman"/>
          <w:sz w:val="32"/>
          <w:szCs w:val="32"/>
          <w:lang w:val="en-US" w:eastAsia="zh-CN"/>
        </w:rPr>
        <w:t>为党员和群众提供更好地学习教育的场所，强化党性修养；</w:t>
      </w:r>
    </w:p>
    <w:p w14:paraId="005D4B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提供对外交流平台，展示党组织形象和工作成果，促进党与群众的紧密联系，凝聚各方力量。</w:t>
      </w:r>
    </w:p>
    <w:p w14:paraId="19D65F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服务内容</w:t>
      </w:r>
    </w:p>
    <w:p w14:paraId="76B3E5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 w:leftChars="9" w:firstLine="620" w:firstLineChars="194"/>
        <w:textAlignment w:val="auto"/>
        <w:rPr>
          <w:rFonts w:hint="eastAsia" w:ascii="Times New Roman" w:hAnsi="Times New Roman" w:eastAsia="仿宋_GB2312" w:cs="Times New Roman"/>
          <w:sz w:val="32"/>
          <w:szCs w:val="32"/>
          <w:lang w:val="en-US" w:eastAsia="zh-CN"/>
        </w:rPr>
      </w:pPr>
      <w:bookmarkStart w:id="0" w:name="_Hlk45183787"/>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根据党建展厅特点，结合服务需求，</w:t>
      </w:r>
      <w:r>
        <w:rPr>
          <w:rFonts w:hint="default" w:ascii="Times New Roman" w:hAnsi="Times New Roman" w:eastAsia="仿宋_GB2312" w:cs="Times New Roman"/>
          <w:sz w:val="32"/>
          <w:szCs w:val="32"/>
          <w:lang w:val="en-US" w:eastAsia="zh-CN"/>
        </w:rPr>
        <w:t>提供</w:t>
      </w:r>
      <w:r>
        <w:rPr>
          <w:rFonts w:hint="eastAsia" w:ascii="Times New Roman" w:hAnsi="Times New Roman" w:eastAsia="仿宋_GB2312" w:cs="Times New Roman"/>
          <w:sz w:val="32"/>
          <w:szCs w:val="32"/>
          <w:lang w:val="en-US" w:eastAsia="zh-CN"/>
        </w:rPr>
        <w:t>适宜的设计方案；</w:t>
      </w:r>
    </w:p>
    <w:p w14:paraId="02E8C4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 w:leftChars="9" w:firstLine="620" w:firstLineChars="194"/>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.使用合适的制作材料，保证色彩度和光泽度达标；</w:t>
      </w:r>
    </w:p>
    <w:p w14:paraId="4B7BBA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 w:leftChars="9" w:firstLine="620" w:firstLineChars="194"/>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.提供</w:t>
      </w:r>
      <w:r>
        <w:rPr>
          <w:rFonts w:hint="eastAsia" w:ascii="Times New Roman" w:hAnsi="Times New Roman" w:eastAsia="仿宋_GB2312" w:cs="Times New Roman"/>
          <w:sz w:val="32"/>
          <w:szCs w:val="32"/>
          <w:lang w:val="en-US" w:eastAsia="zh-CN"/>
        </w:rPr>
        <w:t>专业更新安装服务，服务团队需严格按照设计方案进行更新安装，确保宣传牌的收边光滑严密等质量达标。</w:t>
      </w:r>
    </w:p>
    <w:p w14:paraId="2F40F222">
      <w:pPr>
        <w:pStyle w:val="7"/>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sz w:val="32"/>
          <w:szCs w:val="32"/>
          <w:lang w:eastAsia="zh-CN"/>
        </w:rPr>
      </w:pPr>
      <w:r>
        <w:rPr>
          <w:rFonts w:hint="eastAsia" w:ascii="Times New Roman" w:hAnsi="Times New Roman" w:eastAsia="黑体" w:cs="Times New Roman"/>
          <w:b w:val="0"/>
          <w:bCs/>
          <w:sz w:val="32"/>
          <w:szCs w:val="32"/>
          <w:lang w:eastAsia="zh-CN"/>
        </w:rPr>
        <w:t>三、</w:t>
      </w:r>
      <w:r>
        <w:rPr>
          <w:rFonts w:hint="default" w:ascii="Times New Roman" w:hAnsi="Times New Roman" w:eastAsia="黑体" w:cs="Times New Roman"/>
          <w:b w:val="0"/>
          <w:bCs/>
          <w:sz w:val="32"/>
          <w:szCs w:val="32"/>
          <w:lang w:eastAsia="zh-CN"/>
        </w:rPr>
        <w:t>服务</w:t>
      </w:r>
      <w:r>
        <w:rPr>
          <w:rFonts w:hint="eastAsia" w:ascii="Times New Roman" w:hAnsi="Times New Roman" w:eastAsia="黑体" w:cs="Times New Roman"/>
          <w:b w:val="0"/>
          <w:bCs/>
          <w:sz w:val="32"/>
          <w:szCs w:val="32"/>
          <w:lang w:eastAsia="zh-CN"/>
        </w:rPr>
        <w:t>周期</w:t>
      </w:r>
    </w:p>
    <w:p w14:paraId="42DC30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自签订合同之日起</w:t>
      </w:r>
      <w:bookmarkEnd w:id="0"/>
      <w:r>
        <w:rPr>
          <w:rFonts w:hint="eastAsia" w:ascii="Times New Roman" w:hAnsi="Times New Roman" w:eastAsia="仿宋_GB2312" w:cs="Times New Roman"/>
          <w:sz w:val="32"/>
          <w:szCs w:val="32"/>
          <w:lang w:eastAsia="zh-CN"/>
        </w:rPr>
        <w:t>到项目更新服务验收完成。</w:t>
      </w:r>
    </w:p>
    <w:p w14:paraId="36C1F030">
      <w:pPr>
        <w:pStyle w:val="7"/>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四</w:t>
      </w:r>
      <w:r>
        <w:rPr>
          <w:rFonts w:hint="eastAsia" w:ascii="Times New Roman" w:hAnsi="Times New Roman" w:eastAsia="黑体" w:cs="Times New Roman"/>
          <w:b w:val="0"/>
          <w:bCs/>
          <w:sz w:val="32"/>
          <w:szCs w:val="32"/>
          <w:lang w:eastAsia="zh-CN"/>
        </w:rPr>
        <w:t>、报价要求</w:t>
      </w:r>
    </w:p>
    <w:p w14:paraId="7E63B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2025年度市社会组织“阳光雨”党群服务中心党建展厅宣传栏更新项目总预算为30000.00元。</w:t>
      </w:r>
      <w:r>
        <w:rPr>
          <w:rFonts w:hint="eastAsia" w:ascii="Times New Roman" w:hAnsi="Times New Roman" w:eastAsia="仿宋_GB2312" w:cs="Times New Roman"/>
          <w:sz w:val="32"/>
          <w:szCs w:val="32"/>
          <w:lang w:eastAsia="zh-CN"/>
        </w:rPr>
        <w:t>广告公司报价应包含项目实施过程中的应预见和不可预见等完成本项目的所有费用。</w:t>
      </w:r>
    </w:p>
    <w:p w14:paraId="6EF401B3">
      <w:pPr>
        <w:pStyle w:val="7"/>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sz w:val="32"/>
          <w:szCs w:val="32"/>
          <w:lang w:eastAsia="zh-CN"/>
        </w:rPr>
      </w:pPr>
      <w:r>
        <w:rPr>
          <w:rFonts w:hint="eastAsia" w:ascii="Times New Roman" w:hAnsi="Times New Roman" w:eastAsia="黑体" w:cs="Times New Roman"/>
          <w:b w:val="0"/>
          <w:bCs/>
          <w:sz w:val="32"/>
          <w:szCs w:val="32"/>
          <w:lang w:eastAsia="zh-CN"/>
        </w:rPr>
        <w:t>五、付款方式</w:t>
      </w:r>
    </w:p>
    <w:p w14:paraId="369F77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服务商将设计方案递呈采购方，经采纳后签署合同，采购方向服务商先支付合同金额的50%，项目全部完成并验收合格后支付剩余的50%；</w:t>
      </w:r>
    </w:p>
    <w:p w14:paraId="1ADF0A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本项目为专项经费，如因政策的影响，拨款未能及时到位，服务商不得以此为由而不履行本项目规定的服务内容。</w:t>
      </w:r>
    </w:p>
    <w:p w14:paraId="6813FF28">
      <w:pPr>
        <w:pStyle w:val="7"/>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sz w:val="32"/>
          <w:szCs w:val="32"/>
          <w:lang w:eastAsia="zh-CN"/>
        </w:rPr>
      </w:pPr>
      <w:r>
        <w:rPr>
          <w:rFonts w:hint="eastAsia" w:ascii="Times New Roman" w:hAnsi="Times New Roman" w:eastAsia="黑体" w:cs="Times New Roman"/>
          <w:b w:val="0"/>
          <w:bCs/>
          <w:sz w:val="32"/>
          <w:szCs w:val="32"/>
          <w:lang w:eastAsia="zh-CN"/>
        </w:rPr>
        <w:t>六、验收方式</w:t>
      </w:r>
    </w:p>
    <w:p w14:paraId="3E3B2C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验收应在双方共同参加下进行，依据合同的有关规定制定的方案进行验收。</w:t>
      </w:r>
    </w:p>
    <w:p w14:paraId="0D7873A5">
      <w:pPr>
        <w:keepNext w:val="0"/>
        <w:keepLines w:val="0"/>
        <w:pageBreakBefore w:val="0"/>
        <w:widowControl w:val="0"/>
        <w:kinsoku/>
        <w:wordWrap/>
        <w:overflowPunct/>
        <w:topLinePunct w:val="0"/>
        <w:autoSpaceDE/>
        <w:autoSpaceDN/>
        <w:bidi w:val="0"/>
        <w:adjustRightInd/>
        <w:snapToGrid/>
        <w:spacing w:line="560" w:lineRule="exact"/>
        <w:textAlignment w:val="auto"/>
      </w:pPr>
    </w:p>
    <w:p w14:paraId="6F43E5F9">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footerReference r:id="rId4" w:type="even"/>
      <w:pgSz w:w="11906" w:h="16838"/>
      <w:pgMar w:top="2098" w:right="1474" w:bottom="1984" w:left="1587" w:header="851" w:footer="141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49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B6A95">
                          <w:pPr>
                            <w:pStyle w:val="2"/>
                            <w:keepNext w:val="0"/>
                            <w:keepLines w:val="0"/>
                            <w:pageBreakBefore w:val="0"/>
                            <w:widowControl w:val="0"/>
                            <w:kinsoku/>
                            <w:wordWrap/>
                            <w:overflowPunct/>
                            <w:topLinePunct w:val="0"/>
                            <w:bidi w:val="0"/>
                            <w:adjustRightInd/>
                            <w:snapToGrid w:val="0"/>
                            <w:spacing w:after="0"/>
                            <w:ind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CB6A95">
                    <w:pPr>
                      <w:pStyle w:val="2"/>
                      <w:keepNext w:val="0"/>
                      <w:keepLines w:val="0"/>
                      <w:pageBreakBefore w:val="0"/>
                      <w:widowControl w:val="0"/>
                      <w:kinsoku/>
                      <w:wordWrap/>
                      <w:overflowPunct/>
                      <w:topLinePunct w:val="0"/>
                      <w:bidi w:val="0"/>
                      <w:adjustRightInd/>
                      <w:snapToGrid w:val="0"/>
                      <w:spacing w:after="0"/>
                      <w:ind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7AA1">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6CC46">
                          <w:pPr>
                            <w:pStyle w:val="2"/>
                            <w:keepNext w:val="0"/>
                            <w:keepLines w:val="0"/>
                            <w:pageBreakBefore w:val="0"/>
                            <w:widowControl w:val="0"/>
                            <w:kinsoku/>
                            <w:wordWrap/>
                            <w:overflowPunct/>
                            <w:topLinePunct w:val="0"/>
                            <w:bidi w:val="0"/>
                            <w:adjustRightInd/>
                            <w:snapToGrid w:val="0"/>
                            <w:ind w:left="210" w:lef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06CC46">
                    <w:pPr>
                      <w:pStyle w:val="2"/>
                      <w:keepNext w:val="0"/>
                      <w:keepLines w:val="0"/>
                      <w:pageBreakBefore w:val="0"/>
                      <w:widowControl w:val="0"/>
                      <w:kinsoku/>
                      <w:wordWrap/>
                      <w:overflowPunct/>
                      <w:topLinePunct w:val="0"/>
                      <w:bidi w:val="0"/>
                      <w:adjustRightInd/>
                      <w:snapToGrid w:val="0"/>
                      <w:ind w:left="210" w:lef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05AB0"/>
    <w:rsid w:val="014158E8"/>
    <w:rsid w:val="09A61163"/>
    <w:rsid w:val="09B05AB0"/>
    <w:rsid w:val="1FE12599"/>
    <w:rsid w:val="38185C31"/>
    <w:rsid w:val="3A0E0140"/>
    <w:rsid w:val="3B994239"/>
    <w:rsid w:val="6C75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695</Words>
  <Characters>721</Characters>
  <Lines>0</Lines>
  <Paragraphs>0</Paragraphs>
  <TotalTime>27</TotalTime>
  <ScaleCrop>false</ScaleCrop>
  <LinksUpToDate>false</LinksUpToDate>
  <CharactersWithSpaces>721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2025-04-28T08:37:00Z</dcterms:created>
  <dc:creator>Friyan</dc:creator>
  <cp:lastModifiedBy>Friyan</cp:lastModifiedBy>
  <cp:lastPrinted>2025-06-05T06:30:29Z</cp:lastPrinted>
  <dcterms:modified xsi:type="dcterms:W3CDTF">2025-06-05T06:30:34Z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6B50A0AA06AB4351B310524D15EC0DC1_11</vt:lpwstr>
  </property>
  <property fmtid="{D5CDD505-2E9C-101B-9397-08002B2CF9AE}" pid="4" name="KSOTemplateDocerSaveRecord">
    <vt:lpwstr>eyJoZGlkIjoiYWM2YWRjZTU4ZmJiMzFhMzQ4NGIzYWFmOWRhNTVjZDciLCJ1c2VySWQiOiIzMjYzNDk5NjgifQ==</vt:lpwstr>
  </property>
</Properties>
</file>