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Hlk200116146"/>
      <w:bookmarkStart w:id="3" w:name="_GoBack"/>
      <w:bookmarkEnd w:id="3"/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adjustRightInd w:val="0"/>
        <w:snapToGrid w:val="0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东莞市民政事业发展“十五五”规划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辅助编制项目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eastAsia="zh-CN"/>
        </w:rPr>
        <w:t>采购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需求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20"/>
        <w:jc w:val="both"/>
        <w:textAlignment w:val="auto"/>
        <w:rPr>
          <w:color w:val="333333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为切实做好东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莞市民政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事业发展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“十五五”规划编制工作，确保规划前瞻性、全局性、指导性和专业化，研究团队开展</w:t>
      </w:r>
      <w:r>
        <w:rPr>
          <w:rFonts w:hint="eastAsia"/>
          <w:color w:val="333333"/>
          <w:sz w:val="32"/>
          <w:szCs w:val="32"/>
          <w:shd w:val="clear" w:color="auto" w:fill="FFFFFF"/>
        </w:rPr>
        <w:t>辅助编制工作应满足下列</w:t>
      </w:r>
      <w:r>
        <w:rPr>
          <w:color w:val="333333"/>
          <w:sz w:val="32"/>
          <w:szCs w:val="32"/>
          <w:shd w:val="clear" w:color="auto" w:fill="FFFFFF"/>
        </w:rPr>
        <w:t>需求：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一、项目名称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东莞市民政事业发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展“十五五”规划辅</w:t>
      </w:r>
      <w:r>
        <w:rPr>
          <w:color w:val="333333"/>
          <w:sz w:val="32"/>
          <w:szCs w:val="32"/>
          <w:shd w:val="clear" w:color="auto" w:fill="FFFFFF"/>
        </w:rPr>
        <w:t>助编制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项目。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二、服务内容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（一）辅助开展东莞市民政事业发展“十五五”规划研究及编制工作，包括但不限于以下内容：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1.分析“十四五”时期东莞市民政事业发展经验及问题短板，形成对策建议及参考意见等；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2.结合全市民政工作现状，提出调研计划建议，辅助开展调研工作，并结合前期调研和基础研究，形成规划思路、目标和框架体系；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/>
          <w:color w:val="333333"/>
          <w:sz w:val="32"/>
          <w:szCs w:val="32"/>
          <w:shd w:val="clear" w:color="auto" w:fill="FFFFFF"/>
        </w:rPr>
        <w:t>开展“市直管镇（街、高新区）行政架构、‘一主两副六片区</w:t>
      </w:r>
      <w:r>
        <w:rPr>
          <w:color w:val="333333"/>
          <w:sz w:val="32"/>
          <w:szCs w:val="32"/>
          <w:shd w:val="clear" w:color="auto" w:fill="FFFFFF"/>
        </w:rPr>
        <w:t>’</w:t>
      </w:r>
      <w:r>
        <w:rPr>
          <w:rFonts w:hint="eastAsia"/>
          <w:color w:val="333333"/>
          <w:sz w:val="32"/>
          <w:szCs w:val="32"/>
          <w:shd w:val="clear" w:color="auto" w:fill="FFFFFF"/>
        </w:rPr>
        <w:t>”国土空间格局下东莞市民政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事业发展</w:t>
      </w:r>
      <w:r>
        <w:rPr>
          <w:rFonts w:hint="eastAsia"/>
          <w:color w:val="333333"/>
          <w:sz w:val="32"/>
          <w:szCs w:val="32"/>
          <w:shd w:val="clear" w:color="auto" w:fill="FFFFFF"/>
        </w:rPr>
        <w:t>资源配置现状、区域发展需求研究，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研究事关长远发展的全局性、前瞻性、关键性重大战略、重点任务和项目规划，提供专业意见建议，并形成研究报告；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4.搜集整理国家、省、市关于“十五五”规划相关信息资料，搜集整理大湾区、长三角民政事业发展先进城市典型案例、“十五五”规划思路，提供横向纵向对比分析研究建议；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5.链接社会资源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/>
          <w:color w:val="333333"/>
          <w:sz w:val="32"/>
          <w:szCs w:val="32"/>
          <w:shd w:val="clear" w:color="auto" w:fill="FFFFFF"/>
        </w:rPr>
        <w:t>开展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规划</w:t>
      </w:r>
      <w:r>
        <w:rPr>
          <w:color w:val="333333"/>
          <w:sz w:val="32"/>
          <w:szCs w:val="32"/>
          <w:shd w:val="clear" w:color="auto" w:fill="FFFFFF"/>
        </w:rPr>
        <w:t>编制</w:t>
      </w:r>
      <w:r>
        <w:rPr>
          <w:rFonts w:hint="eastAsia"/>
          <w:color w:val="333333"/>
          <w:sz w:val="32"/>
          <w:szCs w:val="32"/>
          <w:shd w:val="clear" w:color="auto" w:fill="FFFFFF"/>
        </w:rPr>
        <w:t>相关部门、企事业单位、市民访谈工作，发放调查问卷，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/>
          <w:color w:val="333333"/>
          <w:sz w:val="32"/>
          <w:szCs w:val="32"/>
          <w:shd w:val="clear" w:color="auto" w:fill="FFFFFF"/>
        </w:rPr>
        <w:t>研讨论证</w:t>
      </w:r>
      <w:r>
        <w:rPr>
          <w:color w:val="333333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（二）尤其是辅助开展东莞市老龄事业和养老服务体系“十五五”规划研究及编制工作，包括但不限于以下内容：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1.分析“十四五”时期东莞市老龄事业和养老服务体系情况及问题短板，形成对策建议及参考意见等；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2.结合全市老龄事业和养老产业发展现状，</w:t>
      </w:r>
      <w:r>
        <w:rPr>
          <w:rFonts w:hint="eastAsia"/>
          <w:color w:val="333333"/>
          <w:sz w:val="32"/>
          <w:szCs w:val="32"/>
          <w:shd w:val="clear" w:color="auto" w:fill="FFFFFF"/>
        </w:rPr>
        <w:t>开展“人口及其老龄化、老龄事业发展和养老服务体系建设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研究，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辅助开展调研工作，并结合前期研究基础，形成“十五五”规划总体思路，包含指导思想、基本原则、发展目标和任务框架体系等；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/>
          <w:color w:val="333333"/>
          <w:sz w:val="32"/>
          <w:szCs w:val="32"/>
          <w:shd w:val="clear" w:color="auto" w:fill="FFFFFF"/>
        </w:rPr>
        <w:t>开展“市直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管镇（街、高新区）行政架构、‘一主两副六片区’”国土空间格局下</w:t>
      </w:r>
      <w:r>
        <w:rPr>
          <w:rFonts w:hint="eastAsia"/>
          <w:color w:val="333333"/>
          <w:sz w:val="32"/>
          <w:szCs w:val="32"/>
          <w:shd w:val="clear" w:color="auto" w:fill="FFFFFF"/>
        </w:rPr>
        <w:t>东莞市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老龄事业发展</w:t>
      </w:r>
      <w:r>
        <w:rPr>
          <w:rFonts w:hint="eastAsia"/>
          <w:color w:val="333333"/>
          <w:sz w:val="32"/>
          <w:szCs w:val="32"/>
          <w:shd w:val="clear" w:color="auto" w:fill="FFFFFF"/>
        </w:rPr>
        <w:t>现状、区域发展需求研究，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研究事关长远发展的重点任务和项目规划，提供专业意见建议，并形成研究报告；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4.搜集整理国家、省、市关于“十五五”规划相关信息资料，搜集整理大湾区、长三角民政事业发展先进城市典型案例、“十五五”规划思路，提供横向纵向对比分析研究建议；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5.链接社会资源，</w:t>
      </w:r>
      <w:r>
        <w:rPr>
          <w:rFonts w:hint="eastAsia"/>
          <w:color w:val="333333"/>
          <w:sz w:val="32"/>
          <w:szCs w:val="32"/>
          <w:shd w:val="clear" w:color="auto" w:fill="FFFFFF"/>
        </w:rPr>
        <w:t>开展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规划</w:t>
      </w:r>
      <w:r>
        <w:rPr>
          <w:color w:val="333333"/>
          <w:sz w:val="32"/>
          <w:szCs w:val="32"/>
          <w:shd w:val="clear" w:color="auto" w:fill="FFFFFF"/>
        </w:rPr>
        <w:t>编制</w:t>
      </w:r>
      <w:r>
        <w:rPr>
          <w:rFonts w:hint="eastAsia"/>
          <w:color w:val="333333"/>
          <w:sz w:val="32"/>
          <w:szCs w:val="32"/>
          <w:shd w:val="clear" w:color="auto" w:fill="FFFFFF"/>
        </w:rPr>
        <w:t>相关部门、企事业单位、市民访谈工作，发放调查问卷，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/>
          <w:color w:val="333333"/>
          <w:sz w:val="32"/>
          <w:szCs w:val="32"/>
          <w:shd w:val="clear" w:color="auto" w:fill="FFFFFF"/>
        </w:rPr>
        <w:t>研讨论证</w:t>
      </w:r>
      <w:r>
        <w:rPr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三、服务成果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333333"/>
          <w:sz w:val="32"/>
          <w:szCs w:val="32"/>
          <w:lang w:eastAsia="zh-CN"/>
        </w:rPr>
        <w:t>制定</w:t>
      </w:r>
      <w:r>
        <w:rPr>
          <w:rFonts w:hint="eastAsia" w:ascii="Times New Roman" w:hAnsi="Times New Roman" w:cs="Times New Roman"/>
          <w:color w:val="333333"/>
          <w:sz w:val="32"/>
          <w:szCs w:val="32"/>
        </w:rPr>
        <w:t>《东莞市民政事业发展“十五五”规划》</w:t>
      </w:r>
      <w:r>
        <w:rPr>
          <w:rFonts w:hint="eastAsia" w:cs="Times New Roman"/>
          <w:color w:val="333333"/>
          <w:sz w:val="32"/>
          <w:szCs w:val="32"/>
          <w:lang w:eastAsia="zh-CN"/>
        </w:rPr>
        <w:t>及其子规划</w:t>
      </w:r>
      <w:r>
        <w:rPr>
          <w:rFonts w:hint="eastAsia" w:ascii="Times New Roman" w:hAnsi="Times New Roman" w:cs="Times New Roman"/>
          <w:color w:val="333333"/>
          <w:sz w:val="32"/>
          <w:szCs w:val="32"/>
        </w:rPr>
        <w:t>《东莞市老龄事业发展和养老服务体系“十五五”规划》</w:t>
      </w:r>
      <w:r>
        <w:rPr>
          <w:rFonts w:hint="eastAsia" w:ascii="Times New Roman" w:hAnsi="Times New Roman" w:cs="Times New Roman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预算限额为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包括材料、工具、人工成本、交通费、管理费、税费等应该和可能发生的费用因素。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合同签订后，市民政局向机构预付中标金额的50%费用作为启动资金。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项目结束后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（以规划文本印发时间为准）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拨付中标金额余款的50%。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五、服务期限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color w:val="333333"/>
          <w:sz w:val="32"/>
          <w:szCs w:val="32"/>
          <w:shd w:val="clear" w:color="auto" w:fill="FFFFFF"/>
        </w:rPr>
      </w:pPr>
      <w:bookmarkStart w:id="1" w:name="OLE_LINK1"/>
      <w:r>
        <w:rPr>
          <w:color w:val="333333"/>
          <w:sz w:val="32"/>
          <w:szCs w:val="32"/>
          <w:shd w:val="clear" w:color="auto" w:fill="FFFFFF"/>
        </w:rPr>
        <w:t>委托服务合同签订之日至2026年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（以规划文本印发时间为准）</w:t>
      </w:r>
      <w:r>
        <w:rPr>
          <w:rFonts w:hint="eastAsia"/>
          <w:color w:val="333333"/>
          <w:sz w:val="32"/>
          <w:szCs w:val="32"/>
          <w:shd w:val="clear" w:color="auto" w:fill="FFFFFF"/>
        </w:rPr>
        <w:t>，受托方</w:t>
      </w:r>
      <w:r>
        <w:rPr>
          <w:color w:val="333333"/>
          <w:sz w:val="32"/>
          <w:szCs w:val="32"/>
          <w:shd w:val="clear" w:color="auto" w:fill="FFFFFF"/>
        </w:rPr>
        <w:t>按委托方要求不断修改完善，形成格式规范的高质量研究成果</w:t>
      </w:r>
      <w:r>
        <w:rPr>
          <w:rFonts w:hint="eastAsia"/>
          <w:color w:val="333333"/>
          <w:sz w:val="32"/>
          <w:szCs w:val="32"/>
          <w:shd w:val="clear" w:color="auto" w:fill="FFFFFF"/>
        </w:rPr>
        <w:t>和规划文本</w:t>
      </w:r>
      <w:r>
        <w:rPr>
          <w:color w:val="333333"/>
          <w:sz w:val="32"/>
          <w:szCs w:val="32"/>
          <w:shd w:val="clear" w:color="auto" w:fill="FFFFFF"/>
        </w:rPr>
        <w:t>。各阶段工作计划及时间节点</w:t>
      </w:r>
      <w:r>
        <w:rPr>
          <w:rFonts w:hint="eastAsia"/>
          <w:color w:val="333333"/>
          <w:sz w:val="32"/>
          <w:szCs w:val="32"/>
          <w:shd w:val="clear" w:color="auto" w:fill="FFFFFF"/>
          <w:lang w:eastAsia="zh-CN"/>
        </w:rPr>
        <w:t>可</w:t>
      </w:r>
      <w:r>
        <w:rPr>
          <w:color w:val="333333"/>
          <w:sz w:val="32"/>
          <w:szCs w:val="32"/>
          <w:shd w:val="clear" w:color="auto" w:fill="FFFFFF"/>
        </w:rPr>
        <w:t>根据实际工作进度和需求进行动态调整。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2025年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30日前</w:t>
      </w:r>
      <w:r>
        <w:rPr>
          <w:color w:val="333333"/>
          <w:sz w:val="32"/>
          <w:szCs w:val="32"/>
          <w:shd w:val="clear" w:color="auto" w:fill="FFFFFF"/>
        </w:rPr>
        <w:t>提交</w:t>
      </w:r>
      <w:r>
        <w:rPr>
          <w:rFonts w:hint="eastAsia"/>
          <w:color w:val="333333"/>
          <w:sz w:val="32"/>
          <w:szCs w:val="32"/>
        </w:rPr>
        <w:t>《东莞市民政事业发展“十五五”规划》</w:t>
      </w:r>
      <w:r>
        <w:rPr>
          <w:rFonts w:hint="eastAsia" w:cs="Times New Roman"/>
          <w:color w:val="333333"/>
          <w:sz w:val="32"/>
          <w:szCs w:val="32"/>
          <w:lang w:eastAsia="zh-CN"/>
        </w:rPr>
        <w:t>及其子规划</w:t>
      </w:r>
      <w:r>
        <w:rPr>
          <w:rFonts w:hint="eastAsia"/>
          <w:color w:val="333333"/>
          <w:sz w:val="32"/>
          <w:szCs w:val="32"/>
        </w:rPr>
        <w:t>《东莞市老龄事业发展和养老服务体系“十五五”规划》</w:t>
      </w:r>
      <w:r>
        <w:rPr>
          <w:color w:val="333333"/>
          <w:sz w:val="32"/>
          <w:szCs w:val="32"/>
          <w:shd w:val="clear" w:color="auto" w:fill="FFFFFF"/>
        </w:rPr>
        <w:t>初稿；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12</w:t>
      </w:r>
      <w:r>
        <w:rPr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31日</w:t>
      </w:r>
      <w:r>
        <w:rPr>
          <w:color w:val="333333"/>
          <w:sz w:val="32"/>
          <w:szCs w:val="32"/>
          <w:shd w:val="clear" w:color="auto" w:fill="FFFFFF"/>
        </w:rPr>
        <w:t>前组织专家论证</w:t>
      </w:r>
      <w:r>
        <w:rPr>
          <w:rFonts w:hint="eastAsia"/>
          <w:color w:val="333333"/>
          <w:sz w:val="32"/>
          <w:szCs w:val="32"/>
          <w:shd w:val="clear" w:color="auto" w:fill="FFFFFF"/>
        </w:rPr>
        <w:t>评审</w:t>
      </w:r>
      <w:r>
        <w:rPr>
          <w:color w:val="333333"/>
          <w:sz w:val="32"/>
          <w:szCs w:val="32"/>
          <w:shd w:val="clear" w:color="auto" w:fill="FFFFFF"/>
        </w:rPr>
        <w:t>会；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2026年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>31日</w:t>
      </w:r>
      <w:r>
        <w:rPr>
          <w:color w:val="333333"/>
          <w:sz w:val="32"/>
          <w:szCs w:val="32"/>
          <w:shd w:val="clear" w:color="auto" w:fill="FFFFFF"/>
        </w:rPr>
        <w:t>前提交</w:t>
      </w:r>
      <w:r>
        <w:rPr>
          <w:rFonts w:hint="eastAsia"/>
          <w:color w:val="333333"/>
          <w:sz w:val="32"/>
          <w:szCs w:val="32"/>
        </w:rPr>
        <w:t>《东莞市民政事业发展“十五五”规划》</w:t>
      </w:r>
      <w:r>
        <w:rPr>
          <w:rFonts w:hint="eastAsia" w:cs="Times New Roman"/>
          <w:color w:val="333333"/>
          <w:sz w:val="32"/>
          <w:szCs w:val="32"/>
          <w:lang w:eastAsia="zh-CN"/>
        </w:rPr>
        <w:t>及其子规划</w:t>
      </w:r>
      <w:r>
        <w:rPr>
          <w:rFonts w:hint="eastAsia"/>
          <w:color w:val="333333"/>
          <w:sz w:val="32"/>
          <w:szCs w:val="32"/>
        </w:rPr>
        <w:t>《东莞市老龄事业发展和养老服务体系“十五五”规划》</w:t>
      </w:r>
      <w:r>
        <w:rPr>
          <w:color w:val="333333"/>
          <w:sz w:val="32"/>
          <w:szCs w:val="32"/>
          <w:shd w:val="clear" w:color="auto" w:fill="FFFFFF"/>
        </w:rPr>
        <w:t>终稿</w:t>
      </w:r>
      <w:r>
        <w:rPr>
          <w:rFonts w:hint="eastAsia"/>
          <w:color w:val="333333"/>
          <w:sz w:val="32"/>
          <w:szCs w:val="32"/>
          <w:shd w:val="clear" w:color="auto" w:fill="FFFFFF"/>
        </w:rPr>
        <w:t>。</w:t>
      </w:r>
    </w:p>
    <w:bookmarkEnd w:id="1"/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六、工作要求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团队应在深入研究国内外相关做法经验的基础上，坚持进度与成效、定性与定量、目标与问题、理论与实际相结合，聚焦东莞市民政事业发展、老龄事业发展和养老服务体系“十五五”目标任务，围绕核心问题，有针对性地提出对策建议，按期提交高质量的研究成果。研究成果应突出理论和实证分析，提出的对策建议应具有较高参考价值。综合考量申请人资质、团队构成合理性、项目报价情况以及工作实施方案的科学性、创新性、可操作性，并据此进行综合评审，择优确定受托方。</w:t>
      </w:r>
    </w:p>
    <w:p>
      <w:pPr>
        <w:pStyle w:val="15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团队负责人应是国内各相关科研单位、高等院校、行业协（学）会、企事业单位的研究人员，具有副高级以上（含）专业技术职称（职务）或博士学历，熟悉民政事业相关领域情况，有良好的专业素养和研究业绩，并提供研究工作经历、研究成果等相关证明材料。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在发展规划、行业规划和区域规划类咨询方面有着丰富经验，尤其是承接过民生领域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、社会保障领域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规划编制工作，在国民经济和社会发展相关综合发展规划的编制、评估方面具有较高的专业水平和规划编制能力，为决策者提供意见和建议。</w:t>
      </w:r>
    </w:p>
    <w:p>
      <w:pPr>
        <w:pStyle w:val="15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bookmarkStart w:id="2" w:name="OLE_LINK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-SA"/>
        </w:rPr>
        <w:t>申报团队负责人及团队核心成员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-SA"/>
        </w:rPr>
        <w:t>至少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-SA"/>
        </w:rPr>
        <w:t>拥有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名硕士研究生以上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-SA"/>
        </w:rPr>
        <w:t>学历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-SA"/>
        </w:rPr>
        <w:t>、相关领域中级技术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-SA"/>
        </w:rPr>
        <w:t>职称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-SA"/>
        </w:rPr>
        <w:t>以上职称的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-SA"/>
        </w:rPr>
        <w:t>专业人才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，专业能力涉及老龄事业和养老服务、社会救助、社会福利、社会事务、社会治理等领域。咨询团队应具备良好的学科背景，具有主持或参与纵向、横向智库咨询和研究的丰富经验。</w:t>
      </w:r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研究团队负责人须全程直接组织研究及报告撰写工作。</w:t>
      </w:r>
    </w:p>
    <w:p>
      <w:pPr>
        <w:pStyle w:val="15"/>
        <w:widowControl/>
        <w:shd w:val="clear" w:color="auto" w:fill="FFFFFF"/>
        <w:adjustRightInd w:val="0"/>
        <w:snapToGrid w:val="0"/>
        <w:spacing w:beforeAutospacing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承接单位有自身的研究部门以及外部的专家库，有能力整合著名院校、社科组织、各地政府部门等各方面的专家，为研究成果编制链接专家资源，提供强大的专业技术支持。兼具该项能力的优先考虑。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34551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1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1758435"/>
      <w:docPartObj>
        <w:docPartGallery w:val="autotext"/>
      </w:docPartObj>
    </w:sdtPr>
    <w:sdtContent>
      <w:p>
        <w:pPr>
          <w:pStyle w:val="12"/>
          <w:rPr>
            <w:rFonts w:hint="eastAsia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B5"/>
    <w:rsid w:val="00040239"/>
    <w:rsid w:val="00092D17"/>
    <w:rsid w:val="0012594E"/>
    <w:rsid w:val="001322C6"/>
    <w:rsid w:val="00163F32"/>
    <w:rsid w:val="001B691E"/>
    <w:rsid w:val="001C39FC"/>
    <w:rsid w:val="00282D62"/>
    <w:rsid w:val="002A1B5C"/>
    <w:rsid w:val="002A6317"/>
    <w:rsid w:val="003C32A1"/>
    <w:rsid w:val="003F6463"/>
    <w:rsid w:val="0043309E"/>
    <w:rsid w:val="00433866"/>
    <w:rsid w:val="005401AD"/>
    <w:rsid w:val="005735EC"/>
    <w:rsid w:val="005A7052"/>
    <w:rsid w:val="005B2052"/>
    <w:rsid w:val="00626748"/>
    <w:rsid w:val="006526CB"/>
    <w:rsid w:val="006A5028"/>
    <w:rsid w:val="006D6BBA"/>
    <w:rsid w:val="006E3584"/>
    <w:rsid w:val="0076581B"/>
    <w:rsid w:val="00924AA3"/>
    <w:rsid w:val="00984CD9"/>
    <w:rsid w:val="00AA30B5"/>
    <w:rsid w:val="00AE1CA1"/>
    <w:rsid w:val="00BA7E22"/>
    <w:rsid w:val="00C055AB"/>
    <w:rsid w:val="00C429BD"/>
    <w:rsid w:val="00C45065"/>
    <w:rsid w:val="00C86705"/>
    <w:rsid w:val="00CD7EB5"/>
    <w:rsid w:val="00D70BD4"/>
    <w:rsid w:val="00DC3258"/>
    <w:rsid w:val="00DD16B8"/>
    <w:rsid w:val="00DF3AB6"/>
    <w:rsid w:val="00DF7204"/>
    <w:rsid w:val="00E62792"/>
    <w:rsid w:val="00ED1267"/>
    <w:rsid w:val="00EF79AA"/>
    <w:rsid w:val="00F3740D"/>
    <w:rsid w:val="04B323F5"/>
    <w:rsid w:val="06A81B46"/>
    <w:rsid w:val="095E50F8"/>
    <w:rsid w:val="09BC579C"/>
    <w:rsid w:val="0D960CF8"/>
    <w:rsid w:val="15B80111"/>
    <w:rsid w:val="17081550"/>
    <w:rsid w:val="188A22AD"/>
    <w:rsid w:val="1F9C31AA"/>
    <w:rsid w:val="229C5B51"/>
    <w:rsid w:val="26BF4F3B"/>
    <w:rsid w:val="26CA5475"/>
    <w:rsid w:val="2FBF4047"/>
    <w:rsid w:val="32D45491"/>
    <w:rsid w:val="33063CBC"/>
    <w:rsid w:val="38804629"/>
    <w:rsid w:val="39AC3837"/>
    <w:rsid w:val="39B95E42"/>
    <w:rsid w:val="3D7C6D9A"/>
    <w:rsid w:val="3E564252"/>
    <w:rsid w:val="409D41A6"/>
    <w:rsid w:val="410A379C"/>
    <w:rsid w:val="447F5266"/>
    <w:rsid w:val="49690A5B"/>
    <w:rsid w:val="4BDD42A9"/>
    <w:rsid w:val="5810018B"/>
    <w:rsid w:val="582E66DB"/>
    <w:rsid w:val="5C94148E"/>
    <w:rsid w:val="5F962B64"/>
    <w:rsid w:val="61010B6F"/>
    <w:rsid w:val="62072A18"/>
    <w:rsid w:val="64111AFA"/>
    <w:rsid w:val="64542F1C"/>
    <w:rsid w:val="6C7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adjustRightInd w:val="0"/>
      <w:snapToGrid w:val="0"/>
      <w:spacing w:line="579" w:lineRule="exact"/>
      <w:ind w:firstLine="200" w:firstLineChars="200"/>
      <w:jc w:val="left"/>
      <w:outlineLvl w:val="0"/>
    </w:pPr>
    <w:rPr>
      <w:rFonts w:eastAsia="黑体"/>
      <w:bCs/>
      <w:kern w:val="44"/>
      <w:sz w:val="32"/>
      <w:szCs w:val="44"/>
      <w14:ligatures w14:val="standardContextual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adjustRightInd w:val="0"/>
      <w:snapToGrid w:val="0"/>
      <w:spacing w:line="579" w:lineRule="exact"/>
      <w:ind w:firstLine="200" w:firstLineChars="200"/>
      <w:jc w:val="left"/>
      <w:outlineLvl w:val="1"/>
    </w:pPr>
    <w:rPr>
      <w:rFonts w:eastAsia="楷体_GB2312" w:asciiTheme="majorHAnsi" w:hAnsiTheme="majorHAnsi" w:cstheme="majorBidi"/>
      <w:bCs/>
      <w:sz w:val="32"/>
      <w:szCs w:val="32"/>
      <w14:ligatures w14:val="standardContextual"/>
    </w:rPr>
  </w:style>
  <w:style w:type="paragraph" w:styleId="5">
    <w:name w:val="heading 3"/>
    <w:basedOn w:val="1"/>
    <w:next w:val="1"/>
    <w:link w:val="23"/>
    <w:unhideWhenUsed/>
    <w:qFormat/>
    <w:uiPriority w:val="9"/>
    <w:pPr>
      <w:keepNext/>
      <w:keepLines/>
      <w:adjustRightInd w:val="0"/>
      <w:snapToGrid w:val="0"/>
      <w:spacing w:line="579" w:lineRule="exact"/>
      <w:ind w:firstLine="200" w:firstLineChars="200"/>
      <w:jc w:val="left"/>
      <w:outlineLvl w:val="2"/>
    </w:pPr>
    <w:rPr>
      <w:rFonts w:eastAsia="仿宋_GB2312"/>
      <w:b/>
      <w:bCs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4"/>
    <w:semiHidden/>
    <w:unhideWhenUsed/>
    <w:qFormat/>
    <w:uiPriority w:val="9"/>
    <w:pPr>
      <w:keepNext/>
      <w:keepLines/>
      <w:adjustRightInd w:val="0"/>
      <w:snapToGrid w:val="0"/>
      <w:spacing w:before="80" w:after="40" w:line="579" w:lineRule="exact"/>
      <w:ind w:firstLine="200" w:firstLineChars="200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adjustRightInd w:val="0"/>
      <w:snapToGrid w:val="0"/>
      <w:spacing w:before="80" w:after="40" w:line="579" w:lineRule="exact"/>
      <w:ind w:firstLine="200" w:firstLineChars="200"/>
      <w:jc w:val="left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adjustRightInd w:val="0"/>
      <w:snapToGrid w:val="0"/>
      <w:spacing w:before="40" w:line="579" w:lineRule="exact"/>
      <w:ind w:firstLine="200" w:firstLineChars="200"/>
      <w:jc w:val="left"/>
      <w:outlineLvl w:val="5"/>
    </w:pPr>
    <w:rPr>
      <w:rFonts w:cstheme="majorBidi"/>
      <w:b/>
      <w:bCs/>
      <w:color w:val="104862" w:themeColor="accent1" w:themeShade="BF"/>
      <w:sz w:val="32"/>
      <w14:ligatures w14:val="standardContextual"/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adjustRightInd w:val="0"/>
      <w:snapToGrid w:val="0"/>
      <w:spacing w:before="40" w:line="579" w:lineRule="exact"/>
      <w:ind w:firstLine="200" w:firstLineChars="200"/>
      <w:jc w:val="left"/>
      <w:outlineLvl w:val="6"/>
    </w:pPr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adjustRightInd w:val="0"/>
      <w:snapToGrid w:val="0"/>
      <w:spacing w:line="579" w:lineRule="exact"/>
      <w:ind w:firstLine="200" w:firstLineChars="200"/>
      <w:jc w:val="left"/>
      <w:outlineLvl w:val="7"/>
    </w:pPr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adjustRightInd w:val="0"/>
      <w:snapToGrid w:val="0"/>
      <w:spacing w:line="579" w:lineRule="exact"/>
      <w:ind w:firstLine="200" w:firstLineChars="200"/>
      <w:jc w:val="left"/>
      <w:outlineLvl w:val="8"/>
    </w:pPr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38"/>
    <w:semiHidden/>
    <w:unhideWhenUsed/>
    <w:qFormat/>
    <w:uiPriority w:val="99"/>
    <w:rPr>
      <w:rFonts w:hAnsi="Courier New" w:cs="Courier New" w:asciiTheme="minorEastAsia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adjustRightInd w:val="0"/>
      <w:snapToGrid w:val="0"/>
      <w:spacing w:after="160" w:line="579" w:lineRule="exact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</w:rPr>
  </w:style>
  <w:style w:type="paragraph" w:styleId="16">
    <w:name w:val="Title"/>
    <w:basedOn w:val="1"/>
    <w:next w:val="1"/>
    <w:link w:val="22"/>
    <w:qFormat/>
    <w:uiPriority w:val="10"/>
    <w:pPr>
      <w:adjustRightInd w:val="0"/>
      <w:snapToGrid w:val="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  <w14:ligatures w14:val="standardContextual"/>
    </w:rPr>
  </w:style>
  <w:style w:type="character" w:styleId="19">
    <w:name w:val="Strong"/>
    <w:basedOn w:val="18"/>
    <w:qFormat/>
    <w:uiPriority w:val="0"/>
    <w:rPr>
      <w:b/>
    </w:rPr>
  </w:style>
  <w:style w:type="character" w:customStyle="1" w:styleId="20">
    <w:name w:val="标题 1 字符"/>
    <w:basedOn w:val="18"/>
    <w:link w:val="3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1">
    <w:name w:val="标题 2 字符"/>
    <w:basedOn w:val="18"/>
    <w:link w:val="4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22">
    <w:name w:val="标题 字符"/>
    <w:basedOn w:val="18"/>
    <w:link w:val="16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23">
    <w:name w:val="标题 3 字符"/>
    <w:basedOn w:val="18"/>
    <w:link w:val="5"/>
    <w:qFormat/>
    <w:uiPriority w:val="9"/>
    <w:rPr>
      <w:rFonts w:eastAsia="仿宋_GB2312"/>
      <w:b/>
      <w:bCs/>
      <w:sz w:val="32"/>
      <w:szCs w:val="32"/>
    </w:rPr>
  </w:style>
  <w:style w:type="character" w:customStyle="1" w:styleId="24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7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adjustRightInd w:val="0"/>
      <w:snapToGrid w:val="0"/>
      <w:spacing w:before="160" w:after="160" w:line="579" w:lineRule="exact"/>
      <w:ind w:firstLine="200" w:firstLineChars="200"/>
      <w:jc w:val="center"/>
    </w:pPr>
    <w:rPr>
      <w:rFonts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8"/>
    <w:link w:val="31"/>
    <w:qFormat/>
    <w:uiPriority w:val="29"/>
    <w:rPr>
      <w:rFonts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adjustRightInd w:val="0"/>
      <w:snapToGrid w:val="0"/>
      <w:spacing w:line="579" w:lineRule="exact"/>
      <w:ind w:left="720" w:firstLine="200" w:firstLineChars="200"/>
      <w:contextualSpacing/>
      <w:jc w:val="left"/>
    </w:pPr>
    <w:rPr>
      <w:rFonts w:eastAsia="仿宋_GB2312"/>
      <w:sz w:val="32"/>
      <w14:ligatures w14:val="standardContextual"/>
    </w:r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adjustRightInd w:val="0"/>
      <w:snapToGrid w:val="0"/>
      <w:spacing w:before="360" w:after="360" w:line="579" w:lineRule="exact"/>
      <w:ind w:left="864" w:right="864" w:firstLine="200" w:firstLineChars="200"/>
      <w:jc w:val="center"/>
    </w:pPr>
    <w:rPr>
      <w:rFonts w:eastAsia="仿宋_GB2312"/>
      <w:i/>
      <w:iCs/>
      <w:color w:val="104862" w:themeColor="accent1" w:themeShade="BF"/>
      <w:sz w:val="32"/>
      <w14:ligatures w14:val="standardContextual"/>
    </w:rPr>
  </w:style>
  <w:style w:type="character" w:customStyle="1" w:styleId="36">
    <w:name w:val="明显引用 字符"/>
    <w:basedOn w:val="18"/>
    <w:link w:val="35"/>
    <w:qFormat/>
    <w:uiPriority w:val="30"/>
    <w:rPr>
      <w:rFonts w:eastAsia="仿宋_GB2312"/>
      <w:i/>
      <w:iCs/>
      <w:color w:val="104862" w:themeColor="accent1" w:themeShade="BF"/>
      <w:sz w:val="32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纯文本 字符"/>
    <w:basedOn w:val="18"/>
    <w:link w:val="2"/>
    <w:semiHidden/>
    <w:qFormat/>
    <w:uiPriority w:val="99"/>
    <w:rPr>
      <w:rFonts w:hAnsi="Courier New" w:cs="Courier New" w:asciiTheme="minorEastAsia"/>
      <w:sz w:val="21"/>
      <w14:ligatures w14:val="none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  <w14:ligatures w14:val="none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1104</Characters>
  <Lines>9</Lines>
  <Paragraphs>2</Paragraphs>
  <TotalTime>1</TotalTime>
  <ScaleCrop>false</ScaleCrop>
  <LinksUpToDate>false</LinksUpToDate>
  <CharactersWithSpaces>1295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2025-06-06T02:11:00Z</dcterms:created>
  <dc:creator>Chunyu Deng</dc:creator>
  <cp:lastModifiedBy>伟</cp:lastModifiedBy>
  <cp:lastPrinted>2025-07-04T02:07:00Z</cp:lastPrinted>
  <dcterms:modified xsi:type="dcterms:W3CDTF">2025-07-04T06:34:06Z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