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146A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2024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年东莞市社会组织发展扶持专项资金资助项目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活动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）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末期绩效评估方案</w:t>
      </w:r>
    </w:p>
    <w:p w14:paraId="4FB72E51">
      <w:pPr>
        <w:pStyle w:val="12"/>
        <w:tabs>
          <w:tab w:val="left" w:pos="426"/>
        </w:tabs>
        <w:spacing w:line="360" w:lineRule="auto"/>
        <w:rPr>
          <w:rFonts w:hint="eastAsia" w:ascii="Times New Roman" w:hAnsi="Times New Roman" w:eastAsia="仿宋_GB2312" w:cs="Times New Roman"/>
          <w:bCs/>
          <w:sz w:val="32"/>
          <w:szCs w:val="32"/>
        </w:rPr>
      </w:pPr>
    </w:p>
    <w:p w14:paraId="68FC550C">
      <w:pPr>
        <w:pStyle w:val="12"/>
        <w:tabs>
          <w:tab w:val="left" w:pos="426"/>
        </w:tabs>
        <w:spacing w:line="360" w:lineRule="auto"/>
        <w:rPr>
          <w:rFonts w:hint="eastAsia" w:ascii="Times New Roman" w:hAnsi="Times New Roman" w:eastAsia="仿宋_GB2312" w:cs="Times New Roman"/>
          <w:bCs/>
          <w:sz w:val="32"/>
          <w:szCs w:val="32"/>
        </w:rPr>
      </w:pPr>
      <w:r>
        <w:rPr>
          <w:rFonts w:hint="eastAsia" w:ascii="Times New Roman" w:hAnsi="Times New Roman" w:eastAsia="仿宋_GB2312" w:cs="Times New Roman"/>
          <w:bCs/>
          <w:sz w:val="32"/>
          <w:szCs w:val="32"/>
        </w:rPr>
        <w:t>为全面了解和检验我市</w:t>
      </w:r>
      <w:r>
        <w:rPr>
          <w:rFonts w:hint="eastAsia" w:ascii="Times New Roman" w:hAnsi="Times New Roman" w:eastAsia="仿宋_GB2312" w:cs="Times New Roman"/>
          <w:bCs/>
          <w:sz w:val="32"/>
          <w:szCs w:val="32"/>
          <w:lang w:val="en-US" w:eastAsia="zh-CN"/>
        </w:rPr>
        <w:t>2024年</w:t>
      </w:r>
      <w:r>
        <w:rPr>
          <w:rFonts w:hint="eastAsia" w:ascii="Times New Roman" w:hAnsi="Times New Roman" w:eastAsia="仿宋_GB2312" w:cs="Times New Roman"/>
          <w:bCs/>
          <w:sz w:val="32"/>
          <w:szCs w:val="32"/>
        </w:rPr>
        <w:t>社会组织发展扶持专项资金资助项目（</w:t>
      </w:r>
      <w:r>
        <w:rPr>
          <w:rFonts w:hint="eastAsia" w:ascii="Times New Roman" w:hAnsi="Times New Roman" w:eastAsia="仿宋_GB2312" w:cs="Times New Roman"/>
          <w:bCs/>
          <w:sz w:val="32"/>
          <w:szCs w:val="32"/>
          <w:lang w:val="en-US" w:eastAsia="zh-CN"/>
        </w:rPr>
        <w:t>活动</w:t>
      </w:r>
      <w:r>
        <w:rPr>
          <w:rFonts w:hint="eastAsia" w:ascii="Times New Roman" w:hAnsi="Times New Roman" w:eastAsia="仿宋_GB2312" w:cs="Times New Roman"/>
          <w:bCs/>
          <w:sz w:val="32"/>
          <w:szCs w:val="32"/>
        </w:rPr>
        <w:t>）的实施情况，总结项目</w:t>
      </w:r>
      <w:r>
        <w:rPr>
          <w:rFonts w:hint="eastAsia" w:ascii="Times New Roman" w:hAnsi="Times New Roman" w:eastAsia="仿宋_GB2312" w:cs="Times New Roman"/>
          <w:bCs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bCs/>
          <w:sz w:val="32"/>
          <w:szCs w:val="32"/>
          <w:lang w:val="en-US" w:eastAsia="zh-CN"/>
        </w:rPr>
        <w:t>活动</w:t>
      </w:r>
      <w:r>
        <w:rPr>
          <w:rFonts w:hint="eastAsia" w:ascii="Times New Roman" w:hAnsi="Times New Roman" w:eastAsia="仿宋_GB2312" w:cs="Times New Roman"/>
          <w:bCs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仿宋_GB2312" w:cs="Times New Roman"/>
          <w:bCs/>
          <w:sz w:val="32"/>
          <w:szCs w:val="32"/>
        </w:rPr>
        <w:t>服务成效，根据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《东莞市社会组织发展扶持专项资金管理办法》（东府办〔2020〕37号）</w:t>
      </w:r>
      <w:r>
        <w:rPr>
          <w:rFonts w:hint="eastAsia" w:ascii="Times New Roman" w:hAnsi="Times New Roman" w:eastAsia="仿宋_GB2312" w:cs="Times New Roman"/>
          <w:bCs/>
          <w:sz w:val="32"/>
          <w:szCs w:val="32"/>
        </w:rPr>
        <w:t>要求，由市社会组织事务中心委托</w:t>
      </w:r>
      <w:r>
        <w:rPr>
          <w:rFonts w:hint="eastAsia" w:ascii="Times New Roman" w:hAnsi="Times New Roman" w:eastAsia="仿宋_GB2312" w:cs="Times New Roman"/>
          <w:bCs/>
          <w:sz w:val="32"/>
          <w:szCs w:val="32"/>
          <w:lang w:val="en-US" w:eastAsia="zh-CN"/>
        </w:rPr>
        <w:t>东莞市社会工作协会（以下简称“评估机构”）</w:t>
      </w:r>
      <w:r>
        <w:rPr>
          <w:rFonts w:hint="eastAsia" w:ascii="Times New Roman" w:hAnsi="Times New Roman" w:eastAsia="仿宋_GB2312" w:cs="Times New Roman"/>
          <w:bCs/>
          <w:sz w:val="32"/>
          <w:szCs w:val="32"/>
        </w:rPr>
        <w:t>对资助项目</w:t>
      </w:r>
      <w:r>
        <w:rPr>
          <w:rFonts w:hint="eastAsia" w:ascii="Times New Roman" w:hAnsi="Times New Roman" w:eastAsia="仿宋_GB2312" w:cs="Times New Roman"/>
          <w:bCs/>
          <w:sz w:val="32"/>
          <w:szCs w:val="32"/>
          <w:lang w:eastAsia="zh-CN"/>
        </w:rPr>
        <w:t>（活动）</w:t>
      </w:r>
      <w:r>
        <w:rPr>
          <w:rFonts w:hint="eastAsia" w:ascii="Times New Roman" w:hAnsi="Times New Roman" w:eastAsia="仿宋_GB2312" w:cs="Times New Roman"/>
          <w:bCs/>
          <w:sz w:val="32"/>
          <w:szCs w:val="32"/>
        </w:rPr>
        <w:t>进行</w:t>
      </w:r>
      <w:r>
        <w:rPr>
          <w:rFonts w:hint="eastAsia" w:ascii="Times New Roman" w:hAnsi="Times New Roman" w:eastAsia="仿宋_GB2312" w:cs="Times New Roman"/>
          <w:bCs/>
          <w:sz w:val="32"/>
          <w:szCs w:val="32"/>
          <w:lang w:val="en-US" w:eastAsia="zh-CN"/>
        </w:rPr>
        <w:t>末期</w:t>
      </w:r>
      <w:r>
        <w:rPr>
          <w:rFonts w:hint="eastAsia" w:ascii="Times New Roman" w:hAnsi="Times New Roman" w:eastAsia="仿宋_GB2312" w:cs="Times New Roman"/>
          <w:bCs/>
          <w:sz w:val="32"/>
          <w:szCs w:val="32"/>
        </w:rPr>
        <w:t>绩效评估</w:t>
      </w:r>
      <w:r>
        <w:rPr>
          <w:rFonts w:hint="eastAsia" w:ascii="Times New Roman" w:hAnsi="Times New Roman" w:eastAsia="仿宋_GB2312" w:cs="Times New Roman"/>
          <w:bCs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bCs/>
          <w:sz w:val="32"/>
          <w:szCs w:val="32"/>
          <w:lang w:val="en-US" w:eastAsia="zh-CN"/>
        </w:rPr>
        <w:t>评估方案如下</w:t>
      </w:r>
      <w:r>
        <w:rPr>
          <w:rFonts w:hint="eastAsia" w:ascii="Times New Roman" w:hAnsi="Times New Roman" w:eastAsia="仿宋_GB2312" w:cs="Times New Roman"/>
          <w:bCs/>
          <w:sz w:val="32"/>
          <w:szCs w:val="32"/>
        </w:rPr>
        <w:t>：</w:t>
      </w:r>
    </w:p>
    <w:p w14:paraId="141ED922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项目（活动）评估</w:t>
      </w:r>
      <w:r>
        <w:rPr>
          <w:rFonts w:hint="eastAsia" w:ascii="黑体" w:hAnsi="黑体" w:eastAsia="黑体" w:cs="黑体"/>
          <w:sz w:val="32"/>
          <w:szCs w:val="32"/>
        </w:rPr>
        <w:t>对象</w:t>
      </w:r>
    </w:p>
    <w:p w14:paraId="4BD3DC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bCs/>
          <w:sz w:val="32"/>
          <w:szCs w:val="32"/>
          <w:highlight w:val="yellow"/>
          <w:lang w:val="en-US" w:eastAsia="zh-CN"/>
        </w:rPr>
      </w:pPr>
      <w:r>
        <w:rPr>
          <w:rFonts w:hint="eastAsia" w:ascii="Times New Roman" w:hAnsi="Times New Roman" w:eastAsia="仿宋_GB2312" w:cs="Times New Roman"/>
          <w:bCs/>
          <w:sz w:val="32"/>
          <w:szCs w:val="32"/>
          <w:lang w:val="en-US" w:eastAsia="zh-CN"/>
        </w:rPr>
        <w:t>获得2024</w:t>
      </w:r>
      <w:r>
        <w:rPr>
          <w:rFonts w:hint="eastAsia" w:ascii="Times New Roman" w:hAnsi="Times New Roman" w:eastAsia="仿宋_GB2312" w:cs="Times New Roman"/>
          <w:bCs/>
          <w:sz w:val="32"/>
          <w:szCs w:val="32"/>
        </w:rPr>
        <w:t>年东莞市社会组织发展扶持专项资金资助的</w:t>
      </w:r>
      <w:r>
        <w:rPr>
          <w:rFonts w:hint="eastAsia" w:ascii="Times New Roman" w:hAnsi="Times New Roman" w:eastAsia="仿宋_GB2312" w:cs="Times New Roman"/>
          <w:bCs/>
          <w:sz w:val="32"/>
          <w:szCs w:val="32"/>
          <w:lang w:val="en-US" w:eastAsia="zh-CN"/>
        </w:rPr>
        <w:t>15</w:t>
      </w:r>
      <w:r>
        <w:rPr>
          <w:rFonts w:hint="eastAsia" w:ascii="Times New Roman" w:hAnsi="Times New Roman" w:eastAsia="仿宋_GB2312" w:cs="Times New Roman"/>
          <w:bCs/>
          <w:sz w:val="32"/>
          <w:szCs w:val="32"/>
        </w:rPr>
        <w:t>个项目</w:t>
      </w:r>
      <w:r>
        <w:rPr>
          <w:rFonts w:hint="eastAsia" w:ascii="Times New Roman" w:hAnsi="Times New Roman" w:eastAsia="仿宋_GB2312" w:cs="Times New Roman"/>
          <w:bCs/>
          <w:sz w:val="32"/>
          <w:szCs w:val="32"/>
          <w:lang w:val="en-US" w:eastAsia="zh-CN"/>
        </w:rPr>
        <w:t>以及29个活动（具体名单详见附件1）。</w:t>
      </w:r>
    </w:p>
    <w:p w14:paraId="1A7273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二、评估目标</w:t>
      </w:r>
    </w:p>
    <w:p w14:paraId="21FB87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一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）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客观评价项目（活动）实施情况和效果</w:t>
      </w:r>
    </w:p>
    <w:p w14:paraId="4435CCDA">
      <w:pPr>
        <w:numPr>
          <w:ilvl w:val="0"/>
          <w:numId w:val="0"/>
        </w:numPr>
        <w:spacing w:line="560" w:lineRule="exact"/>
        <w:ind w:left="0" w:leftChars="0" w:firstLine="640" w:firstLineChars="200"/>
        <w:rPr>
          <w:rFonts w:hint="eastAsia" w:ascii="Times New Roman" w:hAnsi="Times New Roman" w:eastAsia="仿宋_GB2312" w:cs="Times New Roman"/>
          <w:bCs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bCs/>
          <w:sz w:val="32"/>
          <w:szCs w:val="32"/>
        </w:rPr>
        <w:t>建立科学、合理的评估标准，客观评价专项资金资助项目</w:t>
      </w:r>
      <w:r>
        <w:rPr>
          <w:rFonts w:hint="eastAsia" w:ascii="Times New Roman" w:hAnsi="Times New Roman" w:eastAsia="仿宋_GB2312" w:cs="Times New Roman"/>
          <w:bCs/>
          <w:sz w:val="32"/>
          <w:szCs w:val="32"/>
          <w:lang w:eastAsia="zh-CN"/>
        </w:rPr>
        <w:t>（活动）的</w:t>
      </w:r>
      <w:r>
        <w:rPr>
          <w:rFonts w:hint="eastAsia" w:ascii="Times New Roman" w:hAnsi="Times New Roman" w:eastAsia="仿宋_GB2312" w:cs="Times New Roman"/>
          <w:bCs/>
          <w:sz w:val="32"/>
          <w:szCs w:val="32"/>
        </w:rPr>
        <w:t>实施情况及实施成果</w:t>
      </w:r>
      <w:r>
        <w:rPr>
          <w:rFonts w:hint="eastAsia" w:ascii="Times New Roman" w:hAnsi="Times New Roman" w:eastAsia="仿宋_GB2312" w:cs="Times New Roman"/>
          <w:bCs/>
          <w:sz w:val="32"/>
          <w:szCs w:val="32"/>
          <w:lang w:eastAsia="zh-CN"/>
        </w:rPr>
        <w:t>。</w:t>
      </w:r>
    </w:p>
    <w:p w14:paraId="6C65DB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二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）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推动项目（活动）和实施机构发展</w:t>
      </w:r>
    </w:p>
    <w:p w14:paraId="39D240F9">
      <w:pPr>
        <w:numPr>
          <w:ilvl w:val="0"/>
          <w:numId w:val="0"/>
        </w:numPr>
        <w:spacing w:line="560" w:lineRule="exact"/>
        <w:ind w:firstLine="640" w:firstLineChars="200"/>
        <w:rPr>
          <w:rFonts w:hint="default"/>
          <w:lang w:val="en-US" w:eastAsia="zh-CN"/>
        </w:rPr>
      </w:pPr>
      <w:r>
        <w:rPr>
          <w:rFonts w:hint="eastAsia" w:ascii="Times New Roman" w:hAnsi="Times New Roman" w:eastAsia="仿宋_GB2312" w:cs="Times New Roman"/>
          <w:bCs/>
          <w:sz w:val="32"/>
          <w:szCs w:val="32"/>
        </w:rPr>
        <w:t>通过评估跟踪资助项目</w:t>
      </w:r>
      <w:r>
        <w:rPr>
          <w:rFonts w:hint="eastAsia" w:ascii="Times New Roman" w:hAnsi="Times New Roman" w:eastAsia="仿宋_GB2312" w:cs="Times New Roman"/>
          <w:bCs/>
          <w:sz w:val="32"/>
          <w:szCs w:val="32"/>
          <w:lang w:eastAsia="zh-CN"/>
        </w:rPr>
        <w:t>（活动）的</w:t>
      </w:r>
      <w:r>
        <w:rPr>
          <w:rFonts w:hint="eastAsia" w:ascii="Times New Roman" w:hAnsi="Times New Roman" w:eastAsia="仿宋_GB2312" w:cs="Times New Roman"/>
          <w:bCs/>
          <w:sz w:val="32"/>
          <w:szCs w:val="32"/>
        </w:rPr>
        <w:t>服务开展，促进专项资金资助</w:t>
      </w:r>
      <w:r>
        <w:rPr>
          <w:rFonts w:hint="eastAsia" w:ascii="Times New Roman" w:hAnsi="Times New Roman" w:eastAsia="仿宋_GB2312" w:cs="Times New Roman"/>
          <w:bCs/>
          <w:sz w:val="32"/>
          <w:szCs w:val="32"/>
          <w:lang w:eastAsia="zh-CN"/>
        </w:rPr>
        <w:t>项目（活动）实施机构的</w:t>
      </w:r>
      <w:r>
        <w:rPr>
          <w:rFonts w:hint="eastAsia" w:ascii="Times New Roman" w:hAnsi="Times New Roman" w:eastAsia="仿宋_GB2312" w:cs="Times New Roman"/>
          <w:bCs/>
          <w:sz w:val="32"/>
          <w:szCs w:val="32"/>
        </w:rPr>
        <w:t>规范、健康发展。</w:t>
      </w:r>
    </w:p>
    <w:p w14:paraId="17954F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三、评估等级划分及评估结果运用</w:t>
      </w:r>
    </w:p>
    <w:p w14:paraId="117C232F">
      <w:pPr>
        <w:pStyle w:val="2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（一）评估等级划分</w:t>
      </w:r>
    </w:p>
    <w:p w14:paraId="1666E54C">
      <w:pPr>
        <w:pStyle w:val="2"/>
        <w:rPr>
          <w:rFonts w:hint="eastAsia" w:ascii="Times New Roman" w:hAnsi="Times New Roman" w:cs="Times New Roman"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bCs/>
          <w:sz w:val="32"/>
          <w:szCs w:val="32"/>
          <w:lang w:val="en-US" w:eastAsia="zh-CN"/>
        </w:rPr>
        <w:t>本次评估分为“优秀”“良好”“合格”“不合格”四个等级，其中“优秀”为90分及以上，“良好”为75-90分（不含90分），“合格”为60-75分（不含75分），“不合格”为60分以下。</w:t>
      </w:r>
    </w:p>
    <w:p w14:paraId="463E5FE2">
      <w:pPr>
        <w:pStyle w:val="2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（二）评估结果运用</w:t>
      </w:r>
    </w:p>
    <w:p w14:paraId="29ADAFE5">
      <w:pPr>
        <w:pStyle w:val="2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Cs/>
          <w:sz w:val="32"/>
          <w:szCs w:val="32"/>
          <w:lang w:val="en-US" w:eastAsia="zh-CN"/>
        </w:rPr>
        <w:t>根据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《东莞市社会组织发展扶持专项资金管理办法》（东府办〔2020〕37号）</w:t>
      </w:r>
      <w:r>
        <w:rPr>
          <w:rFonts w:hint="eastAsia" w:ascii="Times New Roman" w:hAnsi="Times New Roman" w:eastAsia="仿宋_GB2312" w:cs="Times New Roman"/>
          <w:bCs/>
          <w:sz w:val="32"/>
          <w:szCs w:val="32"/>
          <w:lang w:val="en-US" w:eastAsia="zh-CN"/>
        </w:rPr>
        <w:t>，</w:t>
      </w:r>
      <w:r>
        <w:rPr>
          <w:rFonts w:hint="eastAsia" w:ascii="Times New Roman" w:hAnsi="Times New Roman" w:eastAsia="仿宋_GB2312" w:cs="Times New Roman"/>
          <w:bCs/>
          <w:sz w:val="32"/>
          <w:szCs w:val="32"/>
        </w:rPr>
        <w:t>项目（活动）全部完成并通过专项审计</w:t>
      </w:r>
      <w:r>
        <w:rPr>
          <w:rFonts w:hint="eastAsia" w:ascii="Times New Roman" w:hAnsi="Times New Roman" w:cs="Times New Roman"/>
          <w:bCs/>
          <w:sz w:val="32"/>
          <w:szCs w:val="32"/>
          <w:lang w:eastAsia="zh-CN"/>
        </w:rPr>
        <w:t>（项目需要）</w:t>
      </w:r>
      <w:r>
        <w:rPr>
          <w:rFonts w:hint="eastAsia" w:ascii="Times New Roman" w:hAnsi="Times New Roman" w:eastAsia="仿宋_GB2312" w:cs="Times New Roman"/>
          <w:bCs/>
          <w:sz w:val="32"/>
          <w:szCs w:val="32"/>
        </w:rPr>
        <w:t>和绩效评估后，按照实际开支金额拨付剩余的项目（活动）资助资金</w:t>
      </w:r>
      <w:r>
        <w:rPr>
          <w:rFonts w:hint="eastAsia" w:ascii="Times New Roman" w:hAnsi="Times New Roman" w:cs="Times New Roman"/>
          <w:bCs/>
          <w:sz w:val="32"/>
          <w:szCs w:val="32"/>
          <w:lang w:val="en-US" w:eastAsia="zh-CN"/>
        </w:rPr>
        <w:t>。</w:t>
      </w:r>
    </w:p>
    <w:p w14:paraId="337476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sz w:val="32"/>
          <w:szCs w:val="32"/>
        </w:rPr>
        <w:t>、评估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指标与</w:t>
      </w:r>
      <w:r>
        <w:rPr>
          <w:rFonts w:hint="eastAsia" w:ascii="黑体" w:hAnsi="黑体" w:eastAsia="黑体" w:cs="黑体"/>
          <w:sz w:val="32"/>
          <w:szCs w:val="32"/>
        </w:rPr>
        <w:t>内容</w:t>
      </w:r>
    </w:p>
    <w:p w14:paraId="34CEFF88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Times New Roman" w:hAnsi="Times New Roman" w:eastAsia="仿宋_GB2312" w:cs="Times New Roman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Cs/>
          <w:kern w:val="2"/>
          <w:sz w:val="32"/>
          <w:szCs w:val="32"/>
          <w:lang w:val="en-US" w:eastAsia="zh-CN" w:bidi="ar-SA"/>
        </w:rPr>
        <w:t>根据项目生命周期理论、项目管理要素及项目运作逻辑，针对2024年获资助的15个项目和29个活动各设置一套评估指标体系。末期评估主要从以下方面进行考核：项目的人员配置与履职、财务管理、项目宣传推广、项目产出与质量、项目效果等（具体指标详见附件2）。</w:t>
      </w:r>
    </w:p>
    <w:p w14:paraId="19521EF5">
      <w:pPr>
        <w:pStyle w:val="2"/>
        <w:rPr>
          <w:rFonts w:hint="default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Cs/>
          <w:kern w:val="2"/>
          <w:sz w:val="28"/>
          <w:szCs w:val="28"/>
          <w:lang w:val="en-US" w:eastAsia="zh-CN" w:bidi="ar-SA"/>
        </w:rPr>
        <w:t xml:space="preserve">  表1 2024年东莞市专项资金资助项目绩效末期评估指标</w:t>
      </w:r>
    </w:p>
    <w:tbl>
      <w:tblPr>
        <w:tblStyle w:val="8"/>
        <w:tblW w:w="89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2"/>
        <w:gridCol w:w="4385"/>
        <w:gridCol w:w="3615"/>
      </w:tblGrid>
      <w:tr w14:paraId="5814F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932" w:type="dxa"/>
            <w:noWrap w:val="0"/>
            <w:vAlign w:val="center"/>
          </w:tcPr>
          <w:p w14:paraId="518CEF7F">
            <w:pPr>
              <w:pStyle w:val="2"/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4385" w:type="dxa"/>
            <w:noWrap w:val="0"/>
            <w:vAlign w:val="top"/>
          </w:tcPr>
          <w:p w14:paraId="06118D05">
            <w:pPr>
              <w:pStyle w:val="2"/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  <w:t>指标类型</w:t>
            </w:r>
          </w:p>
        </w:tc>
        <w:tc>
          <w:tcPr>
            <w:tcW w:w="3615" w:type="dxa"/>
            <w:noWrap w:val="0"/>
            <w:vAlign w:val="top"/>
          </w:tcPr>
          <w:p w14:paraId="1B7C19EB">
            <w:pPr>
              <w:pStyle w:val="2"/>
              <w:ind w:left="0" w:leftChars="0"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  <w:t>指标适用情形</w:t>
            </w:r>
          </w:p>
        </w:tc>
      </w:tr>
      <w:tr w14:paraId="7E9816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932" w:type="dxa"/>
            <w:noWrap w:val="0"/>
            <w:vAlign w:val="center"/>
          </w:tcPr>
          <w:p w14:paraId="0A413BD8">
            <w:pPr>
              <w:pStyle w:val="2"/>
              <w:ind w:left="0" w:leftChars="0" w:firstLine="280" w:firstLineChars="1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4385" w:type="dxa"/>
            <w:noWrap w:val="0"/>
            <w:vAlign w:val="center"/>
          </w:tcPr>
          <w:p w14:paraId="7E2FC3A3">
            <w:pPr>
              <w:pStyle w:val="2"/>
              <w:spacing w:line="400" w:lineRule="exact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  <w:t>《2024年东莞市专项资金资助</w:t>
            </w:r>
          </w:p>
          <w:p w14:paraId="1F0D43E8">
            <w:pPr>
              <w:pStyle w:val="2"/>
              <w:spacing w:line="400" w:lineRule="exact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项目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  <w:t>绩效末期评估指标》</w:t>
            </w:r>
          </w:p>
        </w:tc>
        <w:tc>
          <w:tcPr>
            <w:tcW w:w="3615" w:type="dxa"/>
            <w:noWrap w:val="0"/>
            <w:vAlign w:val="center"/>
          </w:tcPr>
          <w:p w14:paraId="5D95B649">
            <w:pPr>
              <w:widowControl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  <w:t>资助对象为项目类</w:t>
            </w:r>
          </w:p>
        </w:tc>
      </w:tr>
      <w:tr w14:paraId="0C2D54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932" w:type="dxa"/>
            <w:noWrap w:val="0"/>
            <w:vAlign w:val="center"/>
          </w:tcPr>
          <w:p w14:paraId="2C5DDF1F">
            <w:pPr>
              <w:pStyle w:val="2"/>
              <w:ind w:left="0" w:leftChars="0" w:firstLine="280" w:firstLineChars="100"/>
              <w:jc w:val="both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4385" w:type="dxa"/>
            <w:noWrap w:val="0"/>
            <w:vAlign w:val="center"/>
          </w:tcPr>
          <w:p w14:paraId="5CB09FD7">
            <w:pPr>
              <w:pStyle w:val="2"/>
              <w:spacing w:line="400" w:lineRule="exact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  <w:t>《2024年东莞市专项资金资助</w:t>
            </w:r>
          </w:p>
          <w:p w14:paraId="0FC797F3">
            <w:pPr>
              <w:pStyle w:val="2"/>
              <w:spacing w:line="400" w:lineRule="exact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28"/>
                <w:szCs w:val="28"/>
                <w:vertAlign w:val="baseline"/>
                <w:lang w:val="en-US" w:eastAsia="zh-CN"/>
              </w:rPr>
              <w:t>活动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  <w:t>绩效末期评估指标》</w:t>
            </w:r>
          </w:p>
        </w:tc>
        <w:tc>
          <w:tcPr>
            <w:tcW w:w="3615" w:type="dxa"/>
            <w:noWrap w:val="0"/>
            <w:vAlign w:val="center"/>
          </w:tcPr>
          <w:p w14:paraId="62E26E43">
            <w:pPr>
              <w:pStyle w:val="2"/>
              <w:spacing w:line="400" w:lineRule="exact"/>
              <w:ind w:firstLine="0" w:firstLineChars="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vertAlign w:val="baseline"/>
                <w:lang w:val="en-US" w:eastAsia="zh-CN"/>
              </w:rPr>
              <w:t>资助对象为活动类</w:t>
            </w:r>
          </w:p>
        </w:tc>
      </w:tr>
    </w:tbl>
    <w:p w14:paraId="056F3868">
      <w:pPr>
        <w:keepNext w:val="0"/>
        <w:keepLines w:val="0"/>
        <w:widowControl w:val="0"/>
        <w:suppressLineNumbers w:val="0"/>
        <w:spacing w:line="560" w:lineRule="exact"/>
        <w:ind w:firstLine="640" w:firstLineChars="200"/>
        <w:jc w:val="left"/>
        <w:rPr>
          <w:rFonts w:hint="eastAsia" w:ascii="Times New Roman" w:hAnsi="Times New Roman" w:eastAsia="仿宋_GB2312" w:cs="Times New Roman"/>
          <w:bCs/>
          <w:kern w:val="2"/>
          <w:sz w:val="32"/>
          <w:szCs w:val="32"/>
          <w:lang w:val="en-US" w:eastAsia="zh-CN" w:bidi="ar-SA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五、工作方法</w:t>
      </w:r>
    </w:p>
    <w:p w14:paraId="4108DACA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楷体_GB2312" w:hAnsi="楷体_GB2312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kern w:val="2"/>
          <w:sz w:val="32"/>
          <w:szCs w:val="32"/>
          <w:lang w:val="en-US" w:eastAsia="zh-CN" w:bidi="ar-SA"/>
        </w:rPr>
        <w:t>资料分析法</w:t>
      </w:r>
    </w:p>
    <w:p w14:paraId="4583AFEF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Times New Roman" w:hAnsi="Times New Roman" w:eastAsia="仿宋_GB2312" w:cs="Times New Roman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Cs/>
          <w:kern w:val="2"/>
          <w:sz w:val="32"/>
          <w:szCs w:val="32"/>
          <w:lang w:val="en-US" w:eastAsia="zh-CN" w:bidi="ar-SA"/>
        </w:rPr>
        <w:t>通过查阅项目（活动）服务执行与运作管理的相关痕迹记录及项目（活动）自评报告等资料，对相关资料进行梳理分析，了解项目（活动）服务实施及过程管理情况。</w:t>
      </w:r>
    </w:p>
    <w:p w14:paraId="24B143E5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楷体_GB2312" w:hAnsi="楷体_GB2312" w:eastAsia="楷体_GB2312" w:cs="楷体_GB2312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 w:val="0"/>
          <w:bCs/>
          <w:kern w:val="2"/>
          <w:sz w:val="32"/>
          <w:szCs w:val="32"/>
          <w:lang w:val="en-US" w:eastAsia="zh-CN" w:bidi="ar-SA"/>
        </w:rPr>
        <w:t xml:space="preserve">（二）问卷法 </w:t>
      </w:r>
    </w:p>
    <w:p w14:paraId="0C0AE2CA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Times New Roman" w:hAnsi="Times New Roman" w:eastAsia="仿宋_GB2312" w:cs="Times New Roman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Cs/>
          <w:kern w:val="2"/>
          <w:sz w:val="32"/>
          <w:szCs w:val="32"/>
          <w:lang w:val="en-US" w:eastAsia="zh-CN" w:bidi="ar-SA"/>
        </w:rPr>
        <w:t xml:space="preserve">在实施评估工作时，根据项目（活动）提供的服务受众名单，结合项目（活动）服务内容，采用配额抽样的方法，并以电话、邮件或现场填答等方式进行问卷调查，了解服务受众对项目（活动）服务的满意度评价，收集服务成效信息等质性资料。同时，评估工作组按比例抽取项目（活动）利益相关方进行电话或线上问卷调查，了解其对项目（活动）与自身沟通情况的满意度评价以及与项目（活动）合作带来的积极影响等。 </w:t>
      </w:r>
    </w:p>
    <w:p w14:paraId="32C61659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楷体_GB2312" w:hAnsi="楷体_GB2312" w:eastAsia="楷体_GB2312" w:cs="楷体_GB2312"/>
          <w:b w:val="0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 w:val="0"/>
          <w:bCs/>
          <w:kern w:val="2"/>
          <w:sz w:val="32"/>
          <w:szCs w:val="32"/>
          <w:lang w:val="en-US" w:eastAsia="zh-CN" w:bidi="ar-SA"/>
        </w:rPr>
        <w:t>（三）访谈法</w:t>
      </w:r>
    </w:p>
    <w:p w14:paraId="61AB4D83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Cs/>
          <w:kern w:val="2"/>
          <w:sz w:val="32"/>
          <w:szCs w:val="32"/>
          <w:lang w:val="en-US" w:eastAsia="zh-CN" w:bidi="ar-SA"/>
        </w:rPr>
        <w:t>采取面谈的方式，与项目（活动）负责人就项目（活动）资料以及各访谈结果中需要核对的内容进行沟通与澄清，进一步明确项目（活动）运作情况与成效。</w:t>
      </w:r>
    </w:p>
    <w:p w14:paraId="5286D428">
      <w:pPr>
        <w:keepNext w:val="0"/>
        <w:keepLines w:val="0"/>
        <w:widowControl w:val="0"/>
        <w:suppressLineNumbers w:val="0"/>
        <w:spacing w:line="560" w:lineRule="exact"/>
        <w:ind w:firstLine="640" w:firstLineChars="200"/>
        <w:jc w:val="left"/>
        <w:rPr>
          <w:rFonts w:hint="eastAsia" w:ascii="Times New Roman" w:hAnsi="Times New Roman" w:eastAsia="仿宋_GB2312" w:cs="Times New Roman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六、工作流程安排 </w:t>
      </w:r>
    </w:p>
    <w:p w14:paraId="6EFDE786">
      <w:pPr>
        <w:keepNext w:val="0"/>
        <w:keepLines w:val="0"/>
        <w:widowControl w:val="0"/>
        <w:suppressLineNumbers w:val="0"/>
        <w:spacing w:line="560" w:lineRule="exact"/>
        <w:ind w:firstLine="640" w:firstLineChars="200"/>
        <w:jc w:val="left"/>
        <w:rPr>
          <w:rFonts w:hint="eastAsia" w:ascii="楷体" w:hAnsi="楷体" w:eastAsia="楷体" w:cs="楷体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bCs w:val="0"/>
          <w:kern w:val="2"/>
          <w:sz w:val="32"/>
          <w:szCs w:val="32"/>
          <w:lang w:val="en-US" w:eastAsia="zh-CN" w:bidi="ar-SA"/>
        </w:rPr>
        <w:t>（一）评估准备阶段（</w:t>
      </w:r>
      <w:r>
        <w:rPr>
          <w:rFonts w:hint="default" w:ascii="Times New Roman" w:hAnsi="Times New Roman" w:eastAsia="楷体" w:cs="Times New Roman"/>
          <w:bCs w:val="0"/>
          <w:kern w:val="2"/>
          <w:sz w:val="32"/>
          <w:szCs w:val="32"/>
          <w:lang w:val="en-US" w:eastAsia="zh-CN" w:bidi="ar-SA"/>
        </w:rPr>
        <w:t>2025年8月初</w:t>
      </w:r>
      <w:r>
        <w:rPr>
          <w:rFonts w:hint="eastAsia" w:ascii="楷体" w:hAnsi="楷体" w:eastAsia="楷体" w:cs="楷体"/>
          <w:bCs w:val="0"/>
          <w:kern w:val="2"/>
          <w:sz w:val="32"/>
          <w:szCs w:val="32"/>
          <w:lang w:val="en-US" w:eastAsia="zh-CN" w:bidi="ar-SA"/>
        </w:rPr>
        <w:t>）</w:t>
      </w:r>
    </w:p>
    <w:p w14:paraId="6756A079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Times New Roman" w:hAnsi="Times New Roman" w:eastAsia="仿宋_GB2312" w:cs="Times New Roman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Cs/>
          <w:kern w:val="2"/>
          <w:sz w:val="32"/>
          <w:szCs w:val="32"/>
          <w:lang w:val="en-US" w:eastAsia="zh-CN" w:bidi="ar-SA"/>
        </w:rPr>
        <w:t xml:space="preserve">1.发布评估通知。市社会组织事务中心向获资助项目（活动）实施团队发布评估通知（含相关配套工具），评估工作组与获资助项目（活动）主要负责人及督导沟通、落实各项评估工作安排。 </w:t>
      </w:r>
    </w:p>
    <w:p w14:paraId="188D6B23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Times New Roman" w:hAnsi="Times New Roman" w:eastAsia="仿宋_GB2312" w:cs="Times New Roman"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Cs/>
          <w:kern w:val="2"/>
          <w:sz w:val="32"/>
          <w:szCs w:val="32"/>
          <w:lang w:val="en-US" w:eastAsia="zh-CN" w:bidi="ar-SA"/>
        </w:rPr>
        <w:t>2.自评及资料提交。获资助项目（活动）实施团队根据评估指标要求整理评估材料并进行自我评测，评估指标佐证材料及其他相关证明材料（具体资料提交清单详见附件3）于</w:t>
      </w:r>
      <w:r>
        <w:rPr>
          <w:rFonts w:hint="eastAsia" w:ascii="Times New Roman" w:hAnsi="Times New Roman" w:eastAsia="仿宋_GB2312" w:cs="Times New Roman"/>
          <w:b/>
          <w:bCs w:val="0"/>
          <w:color w:val="FF0000"/>
          <w:kern w:val="2"/>
          <w:sz w:val="32"/>
          <w:szCs w:val="32"/>
          <w:highlight w:val="none"/>
          <w:u w:val="single"/>
          <w:lang w:val="en-US" w:eastAsia="zh-CN" w:bidi="ar-SA"/>
        </w:rPr>
        <w:t>2025年9月20日（周六）17:00</w:t>
      </w:r>
      <w:r>
        <w:rPr>
          <w:rFonts w:hint="eastAsia" w:ascii="Times New Roman" w:hAnsi="Times New Roman" w:eastAsia="仿宋_GB2312" w:cs="Times New Roman"/>
          <w:b/>
          <w:bCs w:val="0"/>
          <w:color w:val="FF0000"/>
          <w:kern w:val="2"/>
          <w:sz w:val="32"/>
          <w:szCs w:val="32"/>
          <w:u w:val="single"/>
          <w:lang w:val="en-US" w:eastAsia="zh-CN" w:bidi="ar-SA"/>
        </w:rPr>
        <w:t>前</w:t>
      </w:r>
      <w:r>
        <w:rPr>
          <w:rFonts w:hint="eastAsia" w:ascii="Times New Roman" w:hAnsi="Times New Roman" w:eastAsia="仿宋_GB2312" w:cs="Times New Roman"/>
          <w:bCs/>
          <w:kern w:val="2"/>
          <w:sz w:val="32"/>
          <w:szCs w:val="32"/>
          <w:lang w:val="en-US" w:eastAsia="zh-CN" w:bidi="ar-SA"/>
        </w:rPr>
        <w:t>发送至东莞市社会工作协会邮箱：</w:t>
      </w:r>
      <w:r>
        <w:rPr>
          <w:rFonts w:hint="eastAsia" w:ascii="Times New Roman" w:hAnsi="Times New Roman" w:eastAsia="仿宋_GB2312" w:cs="Times New Roman"/>
          <w:bCs/>
          <w:color w:val="auto"/>
          <w:kern w:val="2"/>
          <w:sz w:val="32"/>
          <w:szCs w:val="32"/>
          <w:lang w:val="en-US" w:eastAsia="zh-CN" w:bidi="ar-SA"/>
        </w:rPr>
        <w:fldChar w:fldCharType="begin"/>
      </w:r>
      <w:r>
        <w:rPr>
          <w:rFonts w:hint="eastAsia" w:ascii="Times New Roman" w:hAnsi="Times New Roman" w:eastAsia="仿宋_GB2312" w:cs="Times New Roman"/>
          <w:bCs/>
          <w:color w:val="auto"/>
          <w:kern w:val="2"/>
          <w:sz w:val="32"/>
          <w:szCs w:val="32"/>
          <w:lang w:val="en-US" w:eastAsia="zh-CN" w:bidi="ar-SA"/>
        </w:rPr>
        <w:instrText xml:space="preserve"> HYPERLINK "mailto:dgszzh@126.com" </w:instrText>
      </w:r>
      <w:r>
        <w:rPr>
          <w:rFonts w:hint="eastAsia" w:ascii="Times New Roman" w:hAnsi="Times New Roman" w:eastAsia="仿宋_GB2312" w:cs="Times New Roman"/>
          <w:bCs/>
          <w:color w:val="auto"/>
          <w:kern w:val="2"/>
          <w:sz w:val="32"/>
          <w:szCs w:val="32"/>
          <w:lang w:val="en-US" w:eastAsia="zh-CN" w:bidi="ar-SA"/>
        </w:rPr>
        <w:fldChar w:fldCharType="separate"/>
      </w:r>
      <w:r>
        <w:rPr>
          <w:rStyle w:val="10"/>
          <w:rFonts w:hint="eastAsia" w:ascii="Times New Roman" w:hAnsi="Times New Roman" w:eastAsia="仿宋_GB2312" w:cs="Times New Roman"/>
          <w:bCs/>
          <w:color w:val="auto"/>
          <w:kern w:val="2"/>
          <w:sz w:val="32"/>
          <w:szCs w:val="32"/>
          <w:lang w:val="en-US" w:eastAsia="zh-CN" w:bidi="ar-SA"/>
        </w:rPr>
        <w:t>dgsxyjb@163.com</w:t>
      </w:r>
      <w:r>
        <w:rPr>
          <w:rFonts w:hint="eastAsia" w:ascii="Times New Roman" w:hAnsi="Times New Roman" w:eastAsia="仿宋_GB2312" w:cs="Times New Roman"/>
          <w:bCs/>
          <w:color w:val="auto"/>
          <w:kern w:val="2"/>
          <w:sz w:val="32"/>
          <w:szCs w:val="32"/>
          <w:lang w:val="en-US" w:eastAsia="zh-CN" w:bidi="ar-SA"/>
        </w:rPr>
        <w:fldChar w:fldCharType="end"/>
      </w:r>
      <w:r>
        <w:rPr>
          <w:rFonts w:hint="eastAsia" w:ascii="Times New Roman" w:hAnsi="Times New Roman" w:eastAsia="仿宋_GB2312" w:cs="Times New Roman"/>
          <w:bCs/>
          <w:color w:val="auto"/>
          <w:kern w:val="2"/>
          <w:sz w:val="32"/>
          <w:szCs w:val="32"/>
          <w:lang w:val="en-US" w:eastAsia="zh-CN" w:bidi="ar-SA"/>
        </w:rPr>
        <w:t xml:space="preserve"> 。</w:t>
      </w:r>
    </w:p>
    <w:p w14:paraId="67571BD4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Times New Roman" w:hAnsi="Times New Roman" w:eastAsia="仿宋_GB2312" w:cs="Times New Roman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bCs w:val="0"/>
          <w:kern w:val="2"/>
          <w:sz w:val="32"/>
          <w:szCs w:val="32"/>
          <w:lang w:val="en-US" w:eastAsia="zh-CN" w:bidi="ar-SA"/>
        </w:rPr>
        <w:t>（二）评估实施阶段</w:t>
      </w:r>
      <w:r>
        <w:rPr>
          <w:rFonts w:hint="default" w:ascii="Times New Roman" w:hAnsi="Times New Roman" w:eastAsia="楷体" w:cs="Times New Roman"/>
          <w:bCs w:val="0"/>
          <w:kern w:val="2"/>
          <w:sz w:val="32"/>
          <w:szCs w:val="32"/>
          <w:lang w:val="en-US" w:eastAsia="zh-CN" w:bidi="ar-SA"/>
        </w:rPr>
        <w:t>（2025年9月-10月）</w:t>
      </w:r>
    </w:p>
    <w:p w14:paraId="256A802F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Times New Roman" w:hAnsi="Times New Roman" w:eastAsia="仿宋_GB2312" w:cs="Times New Roman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Cs/>
          <w:kern w:val="2"/>
          <w:sz w:val="32"/>
          <w:szCs w:val="32"/>
          <w:lang w:val="en-US" w:eastAsia="zh-CN" w:bidi="ar-SA"/>
        </w:rPr>
        <w:t>1.实地评估。评估机构组织评估工作组对</w:t>
      </w:r>
      <w:r>
        <w:rPr>
          <w:rFonts w:hint="eastAsia" w:ascii="Times New Roman" w:hAnsi="Times New Roman" w:eastAsia="仿宋_GB2312" w:cs="Times New Roman"/>
          <w:b/>
          <w:bCs w:val="0"/>
          <w:kern w:val="2"/>
          <w:sz w:val="32"/>
          <w:szCs w:val="32"/>
          <w:u w:val="single"/>
          <w:lang w:val="en-US" w:eastAsia="zh-CN" w:bidi="ar-SA"/>
        </w:rPr>
        <w:t>项目</w:t>
      </w:r>
      <w:r>
        <w:rPr>
          <w:rFonts w:hint="eastAsia" w:ascii="Times New Roman" w:hAnsi="Times New Roman" w:eastAsia="仿宋_GB2312" w:cs="Times New Roman"/>
          <w:bCs/>
          <w:kern w:val="2"/>
          <w:sz w:val="32"/>
          <w:szCs w:val="32"/>
          <w:lang w:val="en-US" w:eastAsia="zh-CN" w:bidi="ar-SA"/>
        </w:rPr>
        <w:t>组织开展实地评估，实地评估主要采取查阅项目执行资料及相关负责人访谈方式进行。</w:t>
      </w:r>
    </w:p>
    <w:p w14:paraId="715F465B">
      <w:pPr>
        <w:pStyle w:val="2"/>
        <w:rPr>
          <w:rFonts w:hint="default"/>
          <w:lang w:val="en-US" w:eastAsia="zh-CN"/>
        </w:rPr>
      </w:pPr>
      <w:r>
        <w:rPr>
          <w:rFonts w:hint="eastAsia" w:ascii="Times New Roman" w:hAnsi="Times New Roman" w:cs="Times New Roman"/>
          <w:bCs/>
          <w:kern w:val="2"/>
          <w:sz w:val="32"/>
          <w:szCs w:val="32"/>
          <w:lang w:val="en-US" w:eastAsia="zh-CN" w:bidi="ar-SA"/>
        </w:rPr>
        <w:t>2.集中评估。</w:t>
      </w:r>
      <w:r>
        <w:rPr>
          <w:rFonts w:hint="eastAsia" w:ascii="Times New Roman" w:hAnsi="Times New Roman" w:eastAsia="仿宋_GB2312" w:cs="Times New Roman"/>
          <w:bCs/>
          <w:kern w:val="2"/>
          <w:sz w:val="32"/>
          <w:szCs w:val="32"/>
          <w:lang w:val="en-US" w:eastAsia="zh-CN" w:bidi="ar-SA"/>
        </w:rPr>
        <w:t>评估机构组织评估</w:t>
      </w:r>
      <w:r>
        <w:rPr>
          <w:rFonts w:hint="eastAsia" w:ascii="Times New Roman" w:hAnsi="Times New Roman" w:cs="Times New Roman"/>
          <w:bCs/>
          <w:kern w:val="2"/>
          <w:sz w:val="32"/>
          <w:szCs w:val="32"/>
          <w:lang w:val="en-US" w:eastAsia="zh-CN" w:bidi="ar-SA"/>
        </w:rPr>
        <w:t>工作</w:t>
      </w:r>
      <w:r>
        <w:rPr>
          <w:rFonts w:hint="eastAsia" w:ascii="Times New Roman" w:hAnsi="Times New Roman" w:eastAsia="仿宋_GB2312" w:cs="Times New Roman"/>
          <w:bCs/>
          <w:kern w:val="2"/>
          <w:sz w:val="32"/>
          <w:szCs w:val="32"/>
          <w:lang w:val="en-US" w:eastAsia="zh-CN" w:bidi="ar-SA"/>
        </w:rPr>
        <w:t>组</w:t>
      </w:r>
      <w:r>
        <w:rPr>
          <w:rFonts w:hint="eastAsia" w:ascii="Times New Roman" w:hAnsi="Times New Roman" w:cs="Times New Roman"/>
          <w:bCs/>
          <w:kern w:val="2"/>
          <w:sz w:val="32"/>
          <w:szCs w:val="32"/>
          <w:lang w:val="en-US" w:eastAsia="zh-CN" w:bidi="ar-SA"/>
        </w:rPr>
        <w:t>对</w:t>
      </w:r>
      <w:r>
        <w:rPr>
          <w:rFonts w:hint="eastAsia" w:ascii="Times New Roman" w:hAnsi="Times New Roman" w:cs="Times New Roman"/>
          <w:b/>
          <w:bCs w:val="0"/>
          <w:kern w:val="2"/>
          <w:sz w:val="32"/>
          <w:szCs w:val="32"/>
          <w:u w:val="single"/>
          <w:lang w:val="en-US" w:eastAsia="zh-CN" w:bidi="ar-SA"/>
        </w:rPr>
        <w:t>活动</w:t>
      </w:r>
      <w:r>
        <w:rPr>
          <w:rFonts w:hint="eastAsia" w:ascii="Times New Roman" w:hAnsi="Times New Roman" w:cs="Times New Roman"/>
          <w:bCs/>
          <w:kern w:val="2"/>
          <w:sz w:val="32"/>
          <w:szCs w:val="32"/>
          <w:lang w:val="en-US" w:eastAsia="zh-CN" w:bidi="ar-SA"/>
        </w:rPr>
        <w:t>组织开展集中评估，集中评估主要</w:t>
      </w:r>
      <w:r>
        <w:rPr>
          <w:rFonts w:hint="eastAsia" w:ascii="Times New Roman" w:hAnsi="Times New Roman" w:eastAsia="仿宋_GB2312" w:cs="Times New Roman"/>
          <w:bCs/>
          <w:kern w:val="2"/>
          <w:sz w:val="32"/>
          <w:szCs w:val="32"/>
          <w:lang w:val="en-US" w:eastAsia="zh-CN" w:bidi="ar-SA"/>
        </w:rPr>
        <w:t>采取查阅活动执行资料及相关负责人访谈方式进行。</w:t>
      </w:r>
    </w:p>
    <w:p w14:paraId="506402D7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楷体" w:hAnsi="楷体" w:eastAsia="楷体" w:cs="楷体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Cs/>
          <w:kern w:val="2"/>
          <w:sz w:val="32"/>
          <w:szCs w:val="32"/>
          <w:lang w:val="en-US" w:eastAsia="zh-CN" w:bidi="ar-SA"/>
        </w:rPr>
        <w:t>3.相关主体访谈和问卷调查。根据参评项目（活动）提供名单，评估机构将于2025年9月起对实施服务对象以及其他相关利益方进行访谈和问卷调查。</w:t>
      </w:r>
    </w:p>
    <w:p w14:paraId="1A755727">
      <w:pPr>
        <w:keepNext w:val="0"/>
        <w:keepLines w:val="0"/>
        <w:widowControl w:val="0"/>
        <w:suppressLineNumbers w:val="0"/>
        <w:spacing w:line="560" w:lineRule="exact"/>
        <w:ind w:firstLine="640" w:firstLineChars="200"/>
        <w:jc w:val="left"/>
        <w:rPr>
          <w:rFonts w:hint="default" w:ascii="Times New Roman" w:hAnsi="Times New Roman" w:eastAsia="楷体" w:cs="Times New Roman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bCs w:val="0"/>
          <w:kern w:val="2"/>
          <w:sz w:val="32"/>
          <w:szCs w:val="32"/>
          <w:lang w:val="en-US" w:eastAsia="zh-CN" w:bidi="ar-SA"/>
        </w:rPr>
        <w:t>（三）评估总结阶段</w:t>
      </w:r>
      <w:r>
        <w:rPr>
          <w:rFonts w:hint="default" w:ascii="Times New Roman" w:hAnsi="Times New Roman" w:eastAsia="楷体" w:cs="Times New Roman"/>
          <w:bCs w:val="0"/>
          <w:kern w:val="2"/>
          <w:sz w:val="32"/>
          <w:szCs w:val="32"/>
          <w:lang w:val="en-US" w:eastAsia="zh-CN" w:bidi="ar-SA"/>
        </w:rPr>
        <w:t>（2025年10月上旬）</w:t>
      </w:r>
    </w:p>
    <w:p w14:paraId="075A07F7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Times New Roman" w:hAnsi="Times New Roman" w:eastAsia="仿宋_GB2312" w:cs="Times New Roman"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bCs/>
          <w:kern w:val="2"/>
          <w:sz w:val="32"/>
          <w:szCs w:val="32"/>
          <w:lang w:val="en-US" w:eastAsia="zh-CN" w:bidi="ar-SA"/>
        </w:rPr>
        <w:t xml:space="preserve">1.形成末期评估结果。根据资料查阅、各方主体访谈以及项目（活动）实地走访中收集和掌握到的实施资料，对获资助项目（活动）的整体实施情况进行分析和评价，撰写评分依据并提交至市社会组织事务中心审核。 </w:t>
      </w:r>
    </w:p>
    <w:p w14:paraId="3FD52E7D">
      <w:pPr>
        <w:widowControl/>
        <w:ind w:firstLine="640"/>
        <w:jc w:val="left"/>
        <w:rPr>
          <w:rFonts w:hint="default"/>
          <w:lang w:val="en-US" w:eastAsia="zh-CN"/>
        </w:rPr>
      </w:pPr>
      <w:r>
        <w:rPr>
          <w:rFonts w:hint="eastAsia" w:ascii="Times New Roman" w:hAnsi="Times New Roman" w:eastAsia="仿宋_GB2312" w:cs="Times New Roman"/>
          <w:bCs/>
          <w:sz w:val="32"/>
          <w:szCs w:val="32"/>
          <w:lang w:val="en-US" w:eastAsia="zh-CN"/>
        </w:rPr>
        <w:t>2.评估复核。市社会组织事务中心向各参评项目（活动）公布评估结果，各参评项目（活动）对评估结果有疑问的，可于评估结果公示后3个工作日内向市社会组织事务中心提出复核申请，并由评估机构进行复核及回复。一般情况下，复核以一次为准。复核结束后，最终评估结果将由市社会组织事务中心向社会公示。</w:t>
      </w:r>
    </w:p>
    <w:p w14:paraId="46D1DA12">
      <w:pPr>
        <w:pStyle w:val="2"/>
        <w:ind w:firstLine="640" w:firstLineChars="200"/>
        <w:rPr>
          <w:rFonts w:hint="eastAsia" w:ascii="Times New Roman" w:hAnsi="Times New Roman" w:cs="Times New Roman"/>
          <w:bCs/>
          <w:sz w:val="32"/>
          <w:szCs w:val="32"/>
          <w:lang w:val="en-US" w:eastAsia="zh-CN"/>
        </w:rPr>
      </w:pPr>
    </w:p>
    <w:p w14:paraId="5FFFF7F2">
      <w:pPr>
        <w:pStyle w:val="2"/>
        <w:ind w:firstLine="640" w:firstLineChars="200"/>
        <w:rPr>
          <w:rFonts w:hint="default" w:ascii="Times New Roman" w:hAnsi="Times New Roman" w:eastAsia="仿宋_GB2312" w:cs="Times New Roman"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bCs/>
          <w:sz w:val="32"/>
          <w:szCs w:val="32"/>
          <w:lang w:val="en-US" w:eastAsia="zh-CN"/>
        </w:rPr>
        <w:t>附件：1.2024年东莞市社会组织发展扶持专项资金资助项目（活动）名单</w:t>
      </w:r>
    </w:p>
    <w:p w14:paraId="3BD485B4">
      <w:pPr>
        <w:pStyle w:val="2"/>
        <w:ind w:left="0" w:leftChars="0" w:firstLine="1600" w:firstLineChars="500"/>
        <w:rPr>
          <w:rFonts w:hint="eastAsia" w:ascii="Times New Roman" w:hAnsi="Times New Roman" w:cs="Times New Roman"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bCs/>
          <w:sz w:val="32"/>
          <w:szCs w:val="32"/>
          <w:lang w:val="en-US" w:eastAsia="zh-CN"/>
        </w:rPr>
        <w:t>2.2024年东莞市社会组织发展扶持专项资金</w:t>
      </w:r>
      <w:r>
        <w:rPr>
          <w:rFonts w:hint="eastAsia" w:ascii="Times New Roman" w:hAnsi="Times New Roman" w:eastAsia="仿宋_GB2312" w:cs="Times New Roman"/>
          <w:bCs/>
          <w:sz w:val="32"/>
          <w:szCs w:val="32"/>
        </w:rPr>
        <w:t>资助项目</w:t>
      </w:r>
      <w:r>
        <w:rPr>
          <w:rFonts w:hint="eastAsia" w:ascii="Times New Roman" w:hAnsi="Times New Roman" w:eastAsia="仿宋_GB2312" w:cs="Times New Roman"/>
          <w:bCs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bCs/>
          <w:sz w:val="32"/>
          <w:szCs w:val="32"/>
          <w:lang w:val="en-US" w:eastAsia="zh-CN"/>
        </w:rPr>
        <w:t>活动</w:t>
      </w:r>
      <w:r>
        <w:rPr>
          <w:rFonts w:hint="eastAsia" w:ascii="Times New Roman" w:hAnsi="Times New Roman" w:eastAsia="仿宋_GB2312" w:cs="Times New Roman"/>
          <w:bCs/>
          <w:sz w:val="32"/>
          <w:szCs w:val="32"/>
          <w:lang w:eastAsia="zh-CN"/>
        </w:rPr>
        <w:t>）</w:t>
      </w:r>
      <w:r>
        <w:rPr>
          <w:rFonts w:hint="eastAsia" w:ascii="Times New Roman" w:hAnsi="Times New Roman" w:cs="Times New Roman"/>
          <w:bCs/>
          <w:sz w:val="32"/>
          <w:szCs w:val="32"/>
          <w:lang w:val="en-US" w:eastAsia="zh-CN"/>
        </w:rPr>
        <w:t>末期评估指标体系</w:t>
      </w:r>
    </w:p>
    <w:p w14:paraId="0485F583">
      <w:pPr>
        <w:pStyle w:val="2"/>
        <w:ind w:left="0" w:leftChars="0" w:firstLine="1600" w:firstLineChars="500"/>
        <w:rPr>
          <w:rFonts w:hint="default" w:ascii="Times New Roman" w:hAnsi="Times New Roman" w:cs="Times New Roman"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bCs/>
          <w:sz w:val="32"/>
          <w:szCs w:val="32"/>
          <w:lang w:val="en-US" w:eastAsia="zh-CN"/>
        </w:rPr>
        <w:t>3.参评资料提交清单</w:t>
      </w:r>
    </w:p>
    <w:p w14:paraId="537AFEF9">
      <w:pPr>
        <w:pStyle w:val="2"/>
        <w:ind w:left="0" w:leftChars="0" w:firstLine="1600" w:firstLineChars="500"/>
        <w:rPr>
          <w:rFonts w:hint="default" w:ascii="Times New Roman" w:hAnsi="Times New Roman" w:cs="Times New Roman"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bCs/>
          <w:sz w:val="32"/>
          <w:szCs w:val="32"/>
          <w:lang w:val="en-US" w:eastAsia="zh-CN"/>
        </w:rPr>
        <w:t>4.实地评估安排及实地评估流程</w:t>
      </w:r>
    </w:p>
    <w:p w14:paraId="1FB01393">
      <w:pPr>
        <w:pStyle w:val="2"/>
        <w:ind w:left="0" w:leftChars="0" w:firstLine="1600" w:firstLineChars="500"/>
        <w:rPr>
          <w:rFonts w:hint="eastAsia" w:ascii="Times New Roman" w:hAnsi="Times New Roman" w:cs="Times New Roman"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bCs/>
          <w:sz w:val="32"/>
          <w:szCs w:val="32"/>
          <w:lang w:val="en-US" w:eastAsia="zh-CN"/>
        </w:rPr>
        <w:t>5.2024年东莞市社会组织发展扶持专项资金资助项目（活动）信息收集表</w:t>
      </w:r>
    </w:p>
    <w:p w14:paraId="3E65AE4B">
      <w:pPr>
        <w:pStyle w:val="2"/>
        <w:ind w:left="0" w:leftChars="0" w:firstLine="1600" w:firstLineChars="500"/>
        <w:rPr>
          <w:rFonts w:hint="eastAsia" w:ascii="Times New Roman" w:hAnsi="Times New Roman" w:cs="Times New Roman"/>
          <w:bCs/>
          <w:sz w:val="32"/>
          <w:szCs w:val="32"/>
          <w:lang w:val="en-US" w:eastAsia="zh-CN"/>
        </w:rPr>
      </w:pPr>
    </w:p>
    <w:p w14:paraId="4ACE2600">
      <w:pPr>
        <w:pStyle w:val="2"/>
        <w:ind w:left="0" w:leftChars="0" w:firstLine="1600" w:firstLineChars="500"/>
        <w:rPr>
          <w:rFonts w:hint="eastAsia" w:ascii="Times New Roman" w:hAnsi="Times New Roman" w:cs="Times New Roman"/>
          <w:bCs/>
          <w:sz w:val="32"/>
          <w:szCs w:val="32"/>
          <w:lang w:val="en-US" w:eastAsia="zh-CN"/>
        </w:rPr>
      </w:pPr>
    </w:p>
    <w:p w14:paraId="43CBAAB1">
      <w:pPr>
        <w:pStyle w:val="2"/>
        <w:ind w:firstLine="640" w:firstLineChars="200"/>
        <w:jc w:val="center"/>
        <w:rPr>
          <w:rFonts w:hint="default" w:ascii="Times New Roman" w:hAnsi="Times New Roman" w:cs="Times New Roman"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bCs/>
          <w:sz w:val="32"/>
          <w:szCs w:val="32"/>
          <w:lang w:val="en-US" w:eastAsia="zh-CN"/>
        </w:rPr>
        <w:t xml:space="preserve">                     东莞市社会工作协会</w:t>
      </w:r>
    </w:p>
    <w:p w14:paraId="405717E8">
      <w:pPr>
        <w:pStyle w:val="2"/>
        <w:ind w:firstLine="640" w:firstLineChars="200"/>
        <w:jc w:val="center"/>
        <w:rPr>
          <w:rFonts w:hint="eastAsia" w:ascii="Times New Roman" w:hAnsi="Times New Roman" w:cs="Times New Roman"/>
          <w:bCs/>
          <w:sz w:val="32"/>
          <w:szCs w:val="32"/>
          <w:lang w:val="en-US" w:eastAsia="zh-CN"/>
        </w:rPr>
      </w:pPr>
      <w:r>
        <w:rPr>
          <w:rFonts w:hint="eastAsia" w:ascii="Times New Roman" w:hAnsi="Times New Roman" w:cs="Times New Roman"/>
          <w:bCs/>
          <w:sz w:val="32"/>
          <w:szCs w:val="32"/>
          <w:lang w:val="en-US" w:eastAsia="zh-CN"/>
        </w:rPr>
        <w:t xml:space="preserve">                   </w:t>
      </w:r>
      <w:r>
        <w:rPr>
          <w:rFonts w:hint="eastAsia" w:ascii="Times New Roman" w:hAnsi="Times New Roman" w:cs="Times New Roman"/>
          <w:bCs/>
          <w:color w:val="auto"/>
          <w:sz w:val="32"/>
          <w:szCs w:val="32"/>
          <w:highlight w:val="none"/>
          <w:shd w:val="clear" w:color="auto" w:fill="auto"/>
          <w:lang w:val="en-US" w:eastAsia="zh-CN"/>
        </w:rPr>
        <w:t xml:space="preserve">   2025年8月1日</w:t>
      </w:r>
    </w:p>
    <w:p w14:paraId="114978B4">
      <w:pPr>
        <w:spacing w:line="600" w:lineRule="exact"/>
        <w:ind w:left="320" w:hanging="320" w:hangingChars="100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市社会工作协会</w:t>
      </w:r>
      <w:r>
        <w:rPr>
          <w:rFonts w:eastAsia="仿宋_GB2312"/>
          <w:sz w:val="32"/>
          <w:szCs w:val="32"/>
        </w:rPr>
        <w:t>联系人：</w:t>
      </w:r>
      <w:r>
        <w:rPr>
          <w:rFonts w:hint="eastAsia" w:eastAsia="仿宋_GB2312"/>
          <w:sz w:val="32"/>
          <w:szCs w:val="32"/>
          <w:lang w:val="en-US" w:eastAsia="zh-CN"/>
        </w:rPr>
        <w:t>张佳伟</w:t>
      </w:r>
      <w:r>
        <w:rPr>
          <w:rFonts w:eastAsia="仿宋_GB2312"/>
          <w:sz w:val="32"/>
          <w:szCs w:val="32"/>
        </w:rPr>
        <w:t>，联系电话</w:t>
      </w:r>
      <w:r>
        <w:rPr>
          <w:rFonts w:hint="default" w:ascii="Times New Roman" w:hAnsi="Times New Roman" w:eastAsia="仿宋_GB2312" w:cs="Times New Roman"/>
          <w:sz w:val="32"/>
          <w:szCs w:val="32"/>
        </w:rPr>
        <w:t>：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0769-2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3071618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586373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5F6EAF1"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5F6EAF1"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7D76B9"/>
    <w:multiLevelType w:val="singleLevel"/>
    <w:tmpl w:val="9F7D76B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9F928B22"/>
    <w:multiLevelType w:val="multilevel"/>
    <w:tmpl w:val="9F928B22"/>
    <w:lvl w:ilvl="0" w:tentative="0">
      <w:start w:val="1"/>
      <w:numFmt w:val="none"/>
      <w:pStyle w:val="4"/>
      <w:suff w:val="nothing"/>
      <w:lvlText w:val=""/>
      <w:lvlJc w:val="left"/>
    </w:lvl>
    <w:lvl w:ilvl="1" w:tentative="0">
      <w:start w:val="0"/>
      <w:numFmt w:val="decimal"/>
      <w:lvlText w:val="%2"/>
      <w:legacy w:legacy="1" w:legacySpace="0" w:legacyIndent="0"/>
      <w:lvlJc w:val="left"/>
      <w:rPr>
        <w:rFonts w:hint="eastAsia" w:ascii="宋体" w:eastAsia="宋体"/>
      </w:rPr>
    </w:lvl>
    <w:lvl w:ilvl="2" w:tentative="0">
      <w:start w:val="0"/>
      <w:numFmt w:val="decimal"/>
      <w:lvlText w:val="%3"/>
      <w:legacy w:legacy="1" w:legacySpace="0" w:legacyIndent="0"/>
      <w:lvlJc w:val="left"/>
      <w:rPr>
        <w:rFonts w:hint="eastAsia" w:ascii="宋体" w:eastAsia="宋体"/>
      </w:rPr>
    </w:lvl>
    <w:lvl w:ilvl="3" w:tentative="0">
      <w:start w:val="0"/>
      <w:numFmt w:val="decimal"/>
      <w:lvlText w:val="%4"/>
      <w:legacy w:legacy="1" w:legacySpace="0" w:legacyIndent="0"/>
      <w:lvlJc w:val="left"/>
      <w:rPr>
        <w:rFonts w:hint="eastAsia" w:ascii="宋体" w:eastAsia="宋体"/>
      </w:rPr>
    </w:lvl>
    <w:lvl w:ilvl="4" w:tentative="0">
      <w:start w:val="0"/>
      <w:numFmt w:val="decimal"/>
      <w:lvlText w:val="%5"/>
      <w:legacy w:legacy="1" w:legacySpace="0" w:legacyIndent="0"/>
      <w:lvlJc w:val="left"/>
      <w:rPr>
        <w:rFonts w:hint="eastAsia" w:ascii="宋体" w:eastAsia="宋体"/>
      </w:rPr>
    </w:lvl>
    <w:lvl w:ilvl="5" w:tentative="0">
      <w:start w:val="0"/>
      <w:numFmt w:val="decimal"/>
      <w:lvlText w:val="%6"/>
      <w:legacy w:legacy="1" w:legacySpace="0" w:legacyIndent="0"/>
      <w:lvlJc w:val="left"/>
      <w:rPr>
        <w:rFonts w:hint="eastAsia" w:ascii="宋体" w:eastAsia="宋体"/>
      </w:rPr>
    </w:lvl>
    <w:lvl w:ilvl="6" w:tentative="0">
      <w:start w:val="0"/>
      <w:numFmt w:val="decimal"/>
      <w:lvlText w:val="%7"/>
      <w:legacy w:legacy="1" w:legacySpace="0" w:legacyIndent="0"/>
      <w:lvlJc w:val="left"/>
      <w:rPr>
        <w:rFonts w:hint="eastAsia" w:ascii="宋体" w:eastAsia="宋体"/>
      </w:rPr>
    </w:lvl>
    <w:lvl w:ilvl="7" w:tentative="0">
      <w:start w:val="0"/>
      <w:numFmt w:val="decimal"/>
      <w:lvlText w:val="%8"/>
      <w:legacy w:legacy="1" w:legacySpace="0" w:legacyIndent="0"/>
      <w:lvlJc w:val="left"/>
      <w:rPr>
        <w:rFonts w:hint="eastAsia" w:ascii="宋体" w:eastAsia="宋体"/>
      </w:rPr>
    </w:lvl>
    <w:lvl w:ilvl="8" w:tentative="0">
      <w:start w:val="0"/>
      <w:numFmt w:val="decimal"/>
      <w:lvlText w:val="%9"/>
      <w:legacy w:legacy="1" w:legacySpace="0" w:legacyIndent="0"/>
      <w:lvlJc w:val="left"/>
      <w:rPr>
        <w:rFonts w:hint="eastAsia" w:ascii="宋体" w:eastAsia="宋体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RiNDJiMDI0MzhmYzUyYzA4ZmNkODA2MWFlYThlYzcifQ=="/>
  </w:docVars>
  <w:rsids>
    <w:rsidRoot w:val="13D15813"/>
    <w:rsid w:val="02867E41"/>
    <w:rsid w:val="06515343"/>
    <w:rsid w:val="0BBC3155"/>
    <w:rsid w:val="1234517D"/>
    <w:rsid w:val="13D15813"/>
    <w:rsid w:val="16730D50"/>
    <w:rsid w:val="16E50F92"/>
    <w:rsid w:val="180F3786"/>
    <w:rsid w:val="1A9D6CF1"/>
    <w:rsid w:val="1C27208D"/>
    <w:rsid w:val="296F3651"/>
    <w:rsid w:val="3F4D3FD0"/>
    <w:rsid w:val="3F6B4196"/>
    <w:rsid w:val="4088720C"/>
    <w:rsid w:val="45F44B10"/>
    <w:rsid w:val="48C91FE6"/>
    <w:rsid w:val="4A2B59C4"/>
    <w:rsid w:val="4A9709BC"/>
    <w:rsid w:val="53A011E5"/>
    <w:rsid w:val="59CD4C81"/>
    <w:rsid w:val="5DA60C29"/>
    <w:rsid w:val="5E691CF2"/>
    <w:rsid w:val="5EFC7228"/>
    <w:rsid w:val="5FE151E9"/>
    <w:rsid w:val="609A7E9D"/>
    <w:rsid w:val="62727103"/>
    <w:rsid w:val="67BA708E"/>
    <w:rsid w:val="728C37D7"/>
    <w:rsid w:val="7A7A21FA"/>
    <w:rsid w:val="7C4411C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widowControl/>
      <w:numPr>
        <w:ilvl w:val="0"/>
        <w:numId w:val="1"/>
      </w:numPr>
      <w:adjustRightInd w:val="0"/>
      <w:spacing w:line="580" w:lineRule="atLeast"/>
      <w:jc w:val="left"/>
      <w:textAlignment w:val="baseline"/>
      <w:outlineLvl w:val="0"/>
    </w:pPr>
    <w:rPr>
      <w:rFonts w:ascii="Calibri" w:hAnsi="Calibri" w:eastAsia="宋体" w:cs="Times New Roman"/>
      <w:b/>
      <w:kern w:val="44"/>
      <w:sz w:val="28"/>
      <w:szCs w:val="20"/>
    </w:rPr>
  </w:style>
  <w:style w:type="paragraph" w:styleId="5">
    <w:name w:val="heading 2"/>
    <w:basedOn w:val="1"/>
    <w:next w:val="1"/>
    <w:link w:val="11"/>
    <w:semiHidden/>
    <w:unhideWhenUsed/>
    <w:qFormat/>
    <w:uiPriority w:val="0"/>
    <w:pPr>
      <w:keepNext/>
      <w:keepLines/>
      <w:spacing w:line="240" w:lineRule="auto"/>
      <w:jc w:val="left"/>
      <w:outlineLvl w:val="1"/>
    </w:pPr>
    <w:rPr>
      <w:rFonts w:ascii="Calibri Light" w:hAnsi="Calibri Light" w:eastAsia="宋体" w:cs="Times New Roman"/>
      <w:b/>
      <w:bCs/>
      <w:sz w:val="28"/>
      <w:szCs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/>
    </w:pPr>
    <w:rPr>
      <w:rFonts w:hint="default"/>
      <w:sz w:val="28"/>
    </w:rPr>
  </w:style>
  <w:style w:type="paragraph" w:styleId="3">
    <w:name w:val="Body Text Indent"/>
    <w:basedOn w:val="1"/>
    <w:qFormat/>
    <w:uiPriority w:val="0"/>
    <w:pPr>
      <w:ind w:firstLine="620" w:firstLineChars="200"/>
    </w:pPr>
    <w:rPr>
      <w:rFonts w:eastAsia="仿宋_GB2312"/>
      <w:sz w:val="31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10">
    <w:name w:val="Hyperlink"/>
    <w:basedOn w:val="9"/>
    <w:qFormat/>
    <w:uiPriority w:val="0"/>
    <w:rPr>
      <w:color w:val="0000FF"/>
      <w:u w:val="single"/>
    </w:rPr>
  </w:style>
  <w:style w:type="character" w:customStyle="1" w:styleId="11">
    <w:name w:val="标题 2 Char"/>
    <w:link w:val="5"/>
    <w:qFormat/>
    <w:uiPriority w:val="9"/>
    <w:rPr>
      <w:rFonts w:ascii="Calibri Light" w:hAnsi="Calibri Light" w:eastAsia="宋体" w:cs="Times New Roman"/>
      <w:b/>
      <w:bCs/>
      <w:sz w:val="28"/>
      <w:szCs w:val="32"/>
    </w:rPr>
  </w:style>
  <w:style w:type="paragraph" w:customStyle="1" w:styleId="12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1961</Words>
  <Characters>2082</Characters>
  <Lines>0</Lines>
  <Paragraphs>0</Paragraphs>
  <TotalTime>13</TotalTime>
  <ScaleCrop>false</ScaleCrop>
  <LinksUpToDate>false</LinksUpToDate>
  <CharactersWithSpaces>2134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2024-05-16T07:49:00Z</dcterms:created>
  <dc:creator>zx</dc:creator>
  <cp:lastModifiedBy>梅子</cp:lastModifiedBy>
  <dcterms:modified xsi:type="dcterms:W3CDTF">2025-08-05T08:23:48Z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AE27BA0E4F454F41B82B6F71E3648A36_11</vt:lpwstr>
  </property>
  <property fmtid="{D5CDD505-2E9C-101B-9397-08002B2CF9AE}" pid="4" name="KSOTemplateDocerSaveRecord">
    <vt:lpwstr>eyJoZGlkIjoiMGZmMjNmODA2M2JiODdhMTI3OWRlYzQxZjhiZThiYmIiLCJ1c2VySWQiOiIxMDgwMjY5NzM1In0=</vt:lpwstr>
  </property>
</Properties>
</file>