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FAA5E">
      <w:pPr>
        <w:jc w:val="right"/>
        <w:rPr>
          <w:rFonts w:eastAsia="黑体"/>
          <w:b/>
          <w:color w:val="auto"/>
          <w:sz w:val="36"/>
          <w:highlight w:val="none"/>
        </w:rPr>
      </w:pPr>
      <w:r>
        <w:rPr>
          <w:rFonts w:hint="eastAsia" w:eastAsia="黑体"/>
          <w:b/>
          <w:color w:val="auto"/>
          <w:sz w:val="28"/>
          <w:highlight w:val="none"/>
        </w:rPr>
        <w:drawing>
          <wp:inline distT="0" distB="0" distL="114300" distR="114300">
            <wp:extent cx="533400" cy="514350"/>
            <wp:effectExtent l="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14:paraId="73F93B4B">
      <w:pPr>
        <w:jc w:val="right"/>
        <w:rPr>
          <w:rFonts w:eastAsia="黑体"/>
          <w:b/>
          <w:color w:val="auto"/>
          <w:sz w:val="36"/>
          <w:highlight w:val="none"/>
        </w:rPr>
      </w:pPr>
    </w:p>
    <w:p w14:paraId="446F840A">
      <w:pPr>
        <w:rPr>
          <w:color w:val="auto"/>
          <w:highlight w:val="none"/>
        </w:rPr>
      </w:pPr>
    </w:p>
    <w:p w14:paraId="6AA4CE8A">
      <w:pPr>
        <w:rPr>
          <w:color w:val="auto"/>
          <w:highlight w:val="none"/>
        </w:rPr>
      </w:pPr>
    </w:p>
    <w:p w14:paraId="4CFEF819">
      <w:pPr>
        <w:rPr>
          <w:color w:val="auto"/>
          <w:highlight w:val="none"/>
        </w:rPr>
      </w:pPr>
    </w:p>
    <w:p w14:paraId="75B56A30">
      <w:pPr>
        <w:jc w:val="center"/>
        <w:rPr>
          <w:rFonts w:ascii="黑体" w:eastAsia="黑体"/>
          <w:b/>
          <w:color w:val="auto"/>
          <w:sz w:val="72"/>
          <w:szCs w:val="32"/>
          <w:highlight w:val="none"/>
        </w:rPr>
      </w:pPr>
      <w:r>
        <w:rPr>
          <w:rFonts w:hint="eastAsia" w:ascii="黑体" w:eastAsia="黑体"/>
          <w:b/>
          <w:color w:val="auto"/>
          <w:sz w:val="72"/>
          <w:szCs w:val="32"/>
          <w:highlight w:val="none"/>
          <w:lang w:eastAsia="zh-CN"/>
        </w:rPr>
        <w:t>国内</w:t>
      </w:r>
      <w:r>
        <w:rPr>
          <w:rFonts w:hint="eastAsia" w:ascii="黑体" w:eastAsia="黑体"/>
          <w:b/>
          <w:color w:val="auto"/>
          <w:sz w:val="72"/>
          <w:szCs w:val="32"/>
          <w:highlight w:val="none"/>
        </w:rPr>
        <w:t>采购</w:t>
      </w:r>
    </w:p>
    <w:p w14:paraId="43F0DA11">
      <w:pPr>
        <w:jc w:val="center"/>
        <w:rPr>
          <w:b/>
          <w:color w:val="auto"/>
          <w:sz w:val="72"/>
          <w:szCs w:val="32"/>
          <w:highlight w:val="none"/>
        </w:rPr>
      </w:pPr>
      <w:r>
        <w:rPr>
          <w:rFonts w:hint="eastAsia" w:ascii="黑体" w:eastAsia="黑体"/>
          <w:b/>
          <w:color w:val="auto"/>
          <w:sz w:val="72"/>
          <w:szCs w:val="32"/>
          <w:highlight w:val="none"/>
        </w:rPr>
        <w:t>公开招标文件</w:t>
      </w:r>
    </w:p>
    <w:p w14:paraId="21905078">
      <w:pPr>
        <w:jc w:val="center"/>
        <w:rPr>
          <w:color w:val="auto"/>
          <w:highlight w:val="none"/>
        </w:rPr>
      </w:pPr>
    </w:p>
    <w:p w14:paraId="2AA4FBC2">
      <w:pPr>
        <w:jc w:val="center"/>
        <w:rPr>
          <w:color w:val="auto"/>
          <w:highlight w:val="none"/>
        </w:rPr>
      </w:pPr>
    </w:p>
    <w:p w14:paraId="4D0619AA">
      <w:pPr>
        <w:rPr>
          <w:color w:val="auto"/>
          <w:highlight w:val="none"/>
        </w:rPr>
      </w:pPr>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B1A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14:paraId="3CED22CF">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项目名称：</w:t>
            </w:r>
          </w:p>
        </w:tc>
        <w:tc>
          <w:tcPr>
            <w:tcW w:w="6203" w:type="dxa"/>
            <w:noWrap w:val="0"/>
            <w:vAlign w:val="center"/>
          </w:tcPr>
          <w:p w14:paraId="13DFC1A9">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2025－2026年“幸福加油站一婚姻护航”婚姻家庭辅导项目</w:t>
            </w:r>
          </w:p>
        </w:tc>
      </w:tr>
      <w:tr w14:paraId="4A54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14:paraId="3650B0F3">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项目编号：</w:t>
            </w:r>
          </w:p>
        </w:tc>
        <w:tc>
          <w:tcPr>
            <w:tcW w:w="6203" w:type="dxa"/>
            <w:noWrap w:val="0"/>
            <w:vAlign w:val="center"/>
          </w:tcPr>
          <w:p w14:paraId="20108C82">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0832-SFCX25DG064C</w:t>
            </w:r>
          </w:p>
        </w:tc>
      </w:tr>
      <w:tr w14:paraId="6BB9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14:paraId="216A793A">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采购人：</w:t>
            </w:r>
          </w:p>
        </w:tc>
        <w:tc>
          <w:tcPr>
            <w:tcW w:w="6203" w:type="dxa"/>
            <w:noWrap w:val="0"/>
            <w:vAlign w:val="center"/>
          </w:tcPr>
          <w:p w14:paraId="48FDD833">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东莞市民政局</w:t>
            </w:r>
          </w:p>
        </w:tc>
      </w:tr>
    </w:tbl>
    <w:p w14:paraId="0A6C258F">
      <w:pPr>
        <w:jc w:val="center"/>
        <w:rPr>
          <w:rFonts w:ascii="黑体" w:eastAsia="黑体"/>
          <w:color w:val="auto"/>
          <w:szCs w:val="21"/>
          <w:highlight w:val="none"/>
        </w:rPr>
      </w:pPr>
    </w:p>
    <w:p w14:paraId="4895D032">
      <w:pPr>
        <w:jc w:val="center"/>
        <w:rPr>
          <w:rFonts w:ascii="黑体" w:eastAsia="黑体"/>
          <w:color w:val="auto"/>
          <w:szCs w:val="21"/>
          <w:highlight w:val="none"/>
        </w:rPr>
      </w:pPr>
    </w:p>
    <w:p w14:paraId="14CB05EB">
      <w:pPr>
        <w:jc w:val="center"/>
        <w:rPr>
          <w:rFonts w:ascii="黑体" w:eastAsia="黑体"/>
          <w:color w:val="auto"/>
          <w:szCs w:val="21"/>
          <w:highlight w:val="none"/>
        </w:rPr>
      </w:pPr>
    </w:p>
    <w:p w14:paraId="750CD7C7">
      <w:pPr>
        <w:jc w:val="center"/>
        <w:rPr>
          <w:rFonts w:ascii="黑体" w:eastAsia="黑体"/>
          <w:color w:val="auto"/>
          <w:szCs w:val="21"/>
          <w:highlight w:val="none"/>
        </w:rPr>
      </w:pPr>
    </w:p>
    <w:p w14:paraId="777C91D8">
      <w:pPr>
        <w:jc w:val="center"/>
        <w:rPr>
          <w:rFonts w:ascii="黑体" w:eastAsia="黑体"/>
          <w:color w:val="auto"/>
          <w:sz w:val="52"/>
          <w:szCs w:val="44"/>
          <w:highlight w:val="none"/>
        </w:rPr>
      </w:pPr>
      <w:r>
        <w:rPr>
          <w:rFonts w:hint="eastAsia" w:ascii="黑体" w:eastAsia="黑体"/>
          <w:color w:val="auto"/>
          <w:sz w:val="52"/>
          <w:szCs w:val="44"/>
          <w:highlight w:val="none"/>
        </w:rPr>
        <w:t>三方诚信招标有限公司</w:t>
      </w:r>
    </w:p>
    <w:p w14:paraId="12795D96">
      <w:pPr>
        <w:pageBreakBefore w:val="0"/>
        <w:kinsoku/>
        <w:topLinePunct w:val="0"/>
        <w:autoSpaceDE/>
        <w:autoSpaceDN/>
        <w:bidi w:val="0"/>
        <w:spacing w:line="360" w:lineRule="auto"/>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14:paraId="01ED3AF1">
      <w:pPr>
        <w:pStyle w:val="16"/>
        <w:pageBreakBefore w:val="0"/>
        <w:kinsoku/>
        <w:topLinePunct w:val="0"/>
        <w:autoSpaceDE/>
        <w:autoSpaceDN/>
        <w:bidi w:val="0"/>
        <w:spacing w:line="360" w:lineRule="auto"/>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p>
    <w:p w14:paraId="0E134F80">
      <w:pPr>
        <w:pStyle w:val="16"/>
        <w:pageBreakBefore w:val="0"/>
        <w:kinsoku/>
        <w:topLinePunct w:val="0"/>
        <w:autoSpaceDE/>
        <w:autoSpaceDN/>
        <w:bidi w:val="0"/>
        <w:spacing w:line="360" w:lineRule="auto"/>
        <w:ind w:left="0" w:leftChars="0" w:firstLine="0" w:firstLineChars="0"/>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温馨提示</w:t>
      </w:r>
    </w:p>
    <w:p w14:paraId="4601C09A">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1、投标截止时间一到，本公司不接收任何投标文件，因此，请按规定时间到达。</w:t>
      </w:r>
    </w:p>
    <w:p w14:paraId="004B2135">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2、请正确填写《开标一览表》。多包项目请仔细检查包组号，包组号跟包组名称必须一致。</w:t>
      </w:r>
    </w:p>
    <w:p w14:paraId="3B93FA17">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3、请仔细检查投标文件是否已按招标文件盖章、签名(或盖私章)、签署日期。</w:t>
      </w:r>
    </w:p>
    <w:p w14:paraId="6C2CEBE0">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4、加★号的条款必须一一响应。</w:t>
      </w:r>
    </w:p>
    <w:p w14:paraId="6F173414">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5、投标文件应按顺序编制页码。</w:t>
      </w:r>
    </w:p>
    <w:p w14:paraId="2175ED68">
      <w:pPr>
        <w:pStyle w:val="2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0" w:firstLineChars="0"/>
        <w:jc w:val="left"/>
        <w:textAlignment w:val="auto"/>
        <w:rPr>
          <w:rFonts w:hint="eastAsia" w:ascii="宋体" w:hAnsi="宋体" w:eastAsia="宋体" w:cstheme="minorBidi"/>
          <w:color w:val="auto"/>
          <w:sz w:val="22"/>
          <w:szCs w:val="22"/>
          <w:highlight w:val="none"/>
          <w:lang w:val="en-US" w:eastAsia="zh-CN" w:bidi="ar-SA"/>
        </w:rPr>
      </w:pPr>
      <w:r>
        <w:rPr>
          <w:rFonts w:hint="eastAsia" w:ascii="宋体" w:hAnsi="宋体" w:eastAsia="宋体" w:cstheme="minorBidi"/>
          <w:color w:val="auto"/>
          <w:sz w:val="22"/>
          <w:szCs w:val="22"/>
          <w:highlight w:val="none"/>
          <w:lang w:val="en-US" w:eastAsia="zh-CN" w:bidi="ar-SA"/>
        </w:rPr>
        <w:t>6、我公司为采购代理机构，不对潜在投标人获取招标文件时提交的相关资料的真实性负责，如潜在投标人发现相关资料被盗用、复制、伪造、变造等情况，应遵循法律途径解决，追究侵权者责任。</w:t>
      </w:r>
    </w:p>
    <w:p w14:paraId="0CCA58C2">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theme="minorBidi"/>
          <w:color w:val="auto"/>
          <w:sz w:val="22"/>
          <w:szCs w:val="22"/>
          <w:highlight w:val="none"/>
          <w:lang w:val="en-US" w:eastAsia="zh-CN" w:bidi="ar-SA"/>
        </w:rPr>
      </w:pPr>
    </w:p>
    <w:p w14:paraId="5D47F31E">
      <w:pPr>
        <w:keepNext w:val="0"/>
        <w:keepLines w:val="0"/>
        <w:pageBreakBefore w:val="0"/>
        <w:widowControl/>
        <w:tabs>
          <w:tab w:val="left" w:pos="709"/>
        </w:tabs>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theme="minorBidi"/>
          <w:b/>
          <w:bCs/>
          <w:i w:val="0"/>
          <w:iCs w:val="0"/>
          <w:color w:val="auto"/>
          <w:sz w:val="22"/>
          <w:szCs w:val="22"/>
          <w:highlight w:val="none"/>
          <w:lang w:val="en-US" w:eastAsia="zh-CN" w:bidi="ar-SA"/>
        </w:rPr>
      </w:pPr>
    </w:p>
    <w:p w14:paraId="35E3287F">
      <w:pPr>
        <w:keepNext w:val="0"/>
        <w:keepLines w:val="0"/>
        <w:pageBreakBefore w:val="0"/>
        <w:widowControl/>
        <w:tabs>
          <w:tab w:val="left" w:pos="709"/>
        </w:tabs>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theme="minorBidi"/>
          <w:b/>
          <w:bCs/>
          <w:i w:val="0"/>
          <w:iCs w:val="0"/>
          <w:color w:val="auto"/>
          <w:sz w:val="22"/>
          <w:szCs w:val="22"/>
          <w:highlight w:val="none"/>
          <w:lang w:val="en-US" w:eastAsia="zh-CN" w:bidi="ar-SA"/>
        </w:rPr>
      </w:pPr>
      <w:r>
        <w:rPr>
          <w:rFonts w:hint="eastAsia" w:ascii="宋体" w:hAnsi="宋体" w:eastAsia="宋体" w:cstheme="minorBidi"/>
          <w:b/>
          <w:bCs/>
          <w:i w:val="0"/>
          <w:iCs w:val="0"/>
          <w:color w:val="auto"/>
          <w:sz w:val="22"/>
          <w:szCs w:val="22"/>
          <w:highlight w:val="none"/>
          <w:lang w:val="en-US" w:eastAsia="zh-CN" w:bidi="ar-SA"/>
        </w:rPr>
        <w:t xml:space="preserve"> (本提示内容非招标文件的组成部分，仅为善意提醒。如有不一致，以招标文件为准。)</w:t>
      </w:r>
    </w:p>
    <w:p w14:paraId="5AD58039">
      <w:pPr>
        <w:pageBreakBefore w:val="0"/>
        <w:kinsoku/>
        <w:topLinePunct w:val="0"/>
        <w:autoSpaceDE/>
        <w:autoSpaceDN/>
        <w:bidi w:val="0"/>
        <w:spacing w:line="360" w:lineRule="auto"/>
        <w:rPr>
          <w:rFonts w:hint="eastAsia"/>
          <w:color w:val="auto"/>
          <w:sz w:val="40"/>
          <w:szCs w:val="40"/>
          <w:highlight w:val="none"/>
        </w:rPr>
      </w:pPr>
    </w:p>
    <w:p w14:paraId="15B7E233">
      <w:pPr>
        <w:pageBreakBefore w:val="0"/>
        <w:kinsoku/>
        <w:topLinePunct w:val="0"/>
        <w:autoSpaceDE/>
        <w:autoSpaceDN/>
        <w:bidi w:val="0"/>
        <w:spacing w:line="360" w:lineRule="auto"/>
        <w:rPr>
          <w:rFonts w:hint="eastAsia"/>
          <w:color w:val="auto"/>
          <w:sz w:val="40"/>
          <w:szCs w:val="40"/>
          <w:highlight w:val="none"/>
        </w:rPr>
      </w:pPr>
      <w:r>
        <w:rPr>
          <w:rFonts w:hint="eastAsia"/>
          <w:color w:val="auto"/>
          <w:sz w:val="40"/>
          <w:szCs w:val="40"/>
          <w:highlight w:val="none"/>
        </w:rPr>
        <w:br w:type="page"/>
      </w:r>
    </w:p>
    <w:p w14:paraId="49A84604">
      <w:pPr>
        <w:pStyle w:val="16"/>
        <w:pageBreakBefore w:val="0"/>
        <w:kinsoku/>
        <w:topLinePunct w:val="0"/>
        <w:autoSpaceDE/>
        <w:autoSpaceDN/>
        <w:bidi w:val="0"/>
        <w:spacing w:line="360" w:lineRule="auto"/>
        <w:ind w:left="0" w:leftChars="0" w:firstLine="0" w:firstLineChars="0"/>
        <w:jc w:val="center"/>
        <w:rPr>
          <w:color w:val="auto"/>
          <w:sz w:val="40"/>
          <w:szCs w:val="40"/>
          <w:highlight w:val="none"/>
        </w:rPr>
      </w:pPr>
      <w:r>
        <w:rPr>
          <w:rFonts w:hint="eastAsia"/>
          <w:color w:val="auto"/>
          <w:sz w:val="40"/>
          <w:szCs w:val="40"/>
          <w:highlight w:val="none"/>
        </w:rPr>
        <w:t>目录</w:t>
      </w:r>
    </w:p>
    <w:p w14:paraId="3D528E83">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_Toc20722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第一部分 投标邀请</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_Toc20722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E06A839">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_Toc13903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投标邀请书</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_Toc13903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F57034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_Toc857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第二部分 相关资料表格</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_Toc857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835ECD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_Toc17481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附表一：投标资料表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_Toc17481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8FB0A2C">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_Toc27394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附表二：商务技术评分及价格权重表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_Toc27394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50171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_Toc21802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第三部分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_Toc21802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F711150">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_Toc27370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第四部分 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_Toc27370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1D33852">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_Toc8045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一、 </w:t>
      </w:r>
      <w:r>
        <w:rPr>
          <w:rFonts w:hint="eastAsia" w:ascii="宋体" w:hAnsi="宋体" w:eastAsia="宋体" w:cs="宋体"/>
          <w:b w:val="0"/>
          <w:bCs w:val="0"/>
          <w:color w:val="auto"/>
          <w:sz w:val="21"/>
          <w:szCs w:val="21"/>
          <w:highlight w:val="none"/>
        </w:rPr>
        <w:t>说明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_Toc8045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F0273D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1.适用范围</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D8C7660">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_Toc15203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2.定义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_Toc15203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E0CBAF7">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3.货物和服务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0624BF8">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4.投标费用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7CE946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_Toc24409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5.知识产权</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_Toc24409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CCAF79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_Toc25530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6.关于联合体投标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_Toc25530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154389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_Toc24312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7.关于分支机构投标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_Toc24312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9C5C00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_Toc15504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二、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56AF647">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_Toc15490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8.招标文件的组成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_Toc15490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EEB431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_Toc7789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9.招标文件的澄清或修改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_Toc7789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D88937A">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_Toc3992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三、 </w:t>
      </w:r>
      <w:r>
        <w:rPr>
          <w:rFonts w:hint="eastAsia" w:ascii="宋体" w:hAnsi="宋体" w:eastAsia="宋体" w:cs="宋体"/>
          <w:b w:val="0"/>
          <w:bCs w:val="0"/>
          <w:color w:val="auto"/>
          <w:sz w:val="21"/>
          <w:szCs w:val="21"/>
          <w:highlight w:val="none"/>
        </w:rPr>
        <w:t>投标文件的编制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_Toc3992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C76C93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10.投标文件的语言及度量衡单位</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FF858F8">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_Toc29420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11.投标文件的组成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_Toc29420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D74DC1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_Toc11356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12.投标文件编制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_Toc11356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87AC0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_Toc28034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13.投标报价说明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_Toc28034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73DBD5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14.投标人所提供的服务或货物的证明文件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D05F8B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_Toc10940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15.★投标有效期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_Toc10940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90F0902">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_Toc5483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16.★投标保证金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_Toc5483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4954E3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_Toc8216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四、 </w:t>
      </w:r>
      <w:r>
        <w:rPr>
          <w:rFonts w:hint="eastAsia" w:ascii="宋体" w:hAnsi="宋体" w:eastAsia="宋体" w:cs="宋体"/>
          <w:b w:val="0"/>
          <w:bCs w:val="0"/>
          <w:color w:val="auto"/>
          <w:sz w:val="21"/>
          <w:szCs w:val="21"/>
          <w:highlight w:val="none"/>
        </w:rPr>
        <w:t>投标文件的递交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_Toc8216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9FDAE3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_Toc16724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17.投标文件的装订，签署，密封和标记</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_Toc16724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616350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_Toc30088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18.迟交的投标文件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_Toc30088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7BEBD1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_Toc15912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19.投标样品</w:t>
      </w:r>
      <w:r>
        <w:rPr>
          <w:rFonts w:hint="eastAsia" w:ascii="宋体" w:hAnsi="宋体" w:eastAsia="宋体" w:cs="宋体"/>
          <w:b w:val="0"/>
          <w:bCs w:val="0"/>
          <w:color w:val="auto"/>
          <w:sz w:val="21"/>
          <w:szCs w:val="21"/>
          <w:highlight w:val="none"/>
          <w:lang w:eastAsia="zh-CN"/>
        </w:rPr>
        <w:t>、投标演示</w:t>
      </w:r>
      <w:r>
        <w:rPr>
          <w:rFonts w:hint="eastAsia" w:ascii="宋体" w:hAnsi="宋体" w:eastAsia="宋体" w:cs="宋体"/>
          <w:b w:val="0"/>
          <w:bCs w:val="0"/>
          <w:color w:val="auto"/>
          <w:sz w:val="21"/>
          <w:szCs w:val="21"/>
          <w:highlight w:val="none"/>
        </w:rPr>
        <w:t>（如</w:t>
      </w:r>
      <w:r>
        <w:rPr>
          <w:rFonts w:hint="eastAsia" w:ascii="宋体" w:hAnsi="宋体" w:eastAsia="宋体" w:cs="宋体"/>
          <w:b w:val="0"/>
          <w:bCs w:val="0"/>
          <w:color w:val="auto"/>
          <w:sz w:val="21"/>
          <w:szCs w:val="21"/>
          <w:highlight w:val="none"/>
          <w:lang w:eastAsia="zh-CN"/>
        </w:rPr>
        <w:t>有要求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_Toc15912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98C7C79">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_Toc28098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20.投标截止期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_Toc28098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D595D43">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_Toc22260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21.投标文件的补充、修改与撤回</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_Toc22260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64FADB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_Toc13835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五、 </w:t>
      </w:r>
      <w:r>
        <w:rPr>
          <w:rFonts w:hint="eastAsia" w:ascii="宋体" w:hAnsi="宋体" w:eastAsia="宋体" w:cs="宋体"/>
          <w:b w:val="0"/>
          <w:bCs w:val="0"/>
          <w:color w:val="auto"/>
          <w:sz w:val="21"/>
          <w:szCs w:val="21"/>
          <w:highlight w:val="none"/>
        </w:rPr>
        <w:t>开标与评标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_Toc13835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7F9FBD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22.开标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FFE6EF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_Toc318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23.评标委员会及评标方法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C3A8732">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_Toc21911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24.评审原则及评标过程的保密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_Toc21911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E07DA5A">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_Toc12318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25.投标文件的初审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_Toc12318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E61FB0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_Toc19657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26.商务、技术、价格评审（具体评审项目详见投标资料表）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_Toc19657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86F978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_Toc6456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27.优惠政策</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_Toc6456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F9C94D3">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_Toc5898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28.纪律和保密事项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_Toc5898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706CC5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_Toc21732 </w:instrText>
      </w:r>
      <w:r>
        <w:rPr>
          <w:rFonts w:hint="eastAsia"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 xml:space="preserve">六、 </w:t>
      </w:r>
      <w:r>
        <w:rPr>
          <w:rFonts w:hint="eastAsia" w:ascii="宋体" w:hAnsi="宋体" w:eastAsia="宋体" w:cs="宋体"/>
          <w:b w:val="0"/>
          <w:bCs w:val="0"/>
          <w:color w:val="auto"/>
          <w:sz w:val="21"/>
          <w:szCs w:val="21"/>
          <w:highlight w:val="none"/>
        </w:rPr>
        <w:t>授予合同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_Toc21732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CC2EE6">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_Toc4954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29.合同授予标准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_Toc4954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EB2C14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_Toc22043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30.发布采购结果</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_Toc22043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CEF0863">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_Toc8411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31.合同的签订与履行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_Toc8411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C6A4B7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_Toc8004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32.履约保证金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_Toc8004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00031A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_Toc5276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lang w:eastAsia="zh-CN"/>
        </w:rPr>
        <w:t>七</w:t>
      </w:r>
      <w:r>
        <w:rPr>
          <w:rFonts w:hint="default"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其他</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_Toc5276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2C3761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_Toc19434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35.招标文件的解释权</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_Toc19434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D07CDB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_Toc12226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第五部分 合同格式（仅供参考）</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_Toc12226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6234C6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_Toc19043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合同格式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_Toc19043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18B91B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_Toc15795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第六部分  附件－投标文件格式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_Toc15795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67E5A19">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附件1.投标文件目录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_Toc6425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4575C27">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_Toc10771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附件1-1评分标准索引表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_Toc10771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3C70F7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_Toc1045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附件2.投标书格式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_Toc1045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DC041F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_Toc11248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附件3.开标一览表格式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_Toc11248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1E2A58A">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附件4.投标分项报价表格式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A32007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_Toc13261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附件5.法定代表人证明书格式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_Toc13261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83625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_Toc19428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附件6.法定代表人授权书格式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_Toc19428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5437A98">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_Toc24266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附件7.资格申明</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_Toc24266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5337CE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_Toc22915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附件8.营业执照</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_Toc22915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411D00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_Toc16457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附件9.相关资质证明文件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_Toc16457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1C1E6C7">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_Toc29591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附件10.商务条款偏离表格式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_Toc29591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E463F3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_Toc7552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附件11.</w:t>
      </w:r>
      <w:r>
        <w:rPr>
          <w:rFonts w:hint="eastAsia" w:ascii="宋体" w:hAnsi="宋体" w:eastAsia="宋体" w:cs="宋体"/>
          <w:b w:val="0"/>
          <w:bCs w:val="0"/>
          <w:color w:val="auto"/>
          <w:sz w:val="21"/>
          <w:szCs w:val="21"/>
          <w:highlight w:val="none"/>
          <w:lang w:eastAsia="zh-CN"/>
        </w:rPr>
        <w:t>技术条款</w:t>
      </w:r>
      <w:r>
        <w:rPr>
          <w:rFonts w:hint="eastAsia" w:ascii="宋体" w:hAnsi="宋体" w:eastAsia="宋体" w:cs="宋体"/>
          <w:b w:val="0"/>
          <w:bCs w:val="0"/>
          <w:color w:val="auto"/>
          <w:sz w:val="21"/>
          <w:szCs w:val="21"/>
          <w:highlight w:val="none"/>
        </w:rPr>
        <w:t>偏离表格式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_Toc7552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B25CD41">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_Toc9275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附件12.重要技术参数（▲）响应表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_Toc9275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7CE9E2A">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_Toc19767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附件13.业绩表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_Toc19767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47E5027">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_Toc20567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附件14.项目实施方案格式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_Toc20567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7E21A5E">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_Toc2677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附件15.实施本项目的有关人员资料表格式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_Toc2677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A8F9228">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_Toc27215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附件16.投标货物说明一览表格式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_Toc27215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BB3DA6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_Toc22034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附件17.在经营活动中没有重大违法记录的书面声明格式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_Toc22034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2BF791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_Toc21744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第七部分 附件-开标文件格式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_Toc21744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327C575">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_Toc21573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en-US" w:eastAsia="zh-CN"/>
        </w:rPr>
        <w:t>第八部分 附件-其他文件格式（如有需求）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_Toc21573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72E6BDB">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_Toc15531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.联合体共同投标协议书（可选）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_Toc15531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5590C1F">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.履约担保函</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0462E0D">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660" w:left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_Toc8346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.获取招标文件登记表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_Toc8346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61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0ED7F7C">
      <w:pPr>
        <w:pStyle w:val="13"/>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240" w:lineRule="auto"/>
        <w:ind w:left="0" w:leftChars="0"/>
        <w:jc w:val="left"/>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fldChar w:fldCharType="end"/>
      </w:r>
      <w:r>
        <w:rPr>
          <w:rFonts w:hint="eastAsia" w:ascii="宋体" w:hAnsi="宋体" w:eastAsia="宋体" w:cs="宋体"/>
          <w:color w:val="auto"/>
          <w:szCs w:val="21"/>
          <w:highlight w:val="none"/>
        </w:rPr>
        <w:br w:type="page"/>
      </w:r>
    </w:p>
    <w:p w14:paraId="3163C60F">
      <w:pPr>
        <w:pStyle w:val="3"/>
        <w:pageBreakBefore w:val="0"/>
        <w:kinsoku/>
        <w:topLinePunct w:val="0"/>
        <w:autoSpaceDE/>
        <w:autoSpaceDN/>
        <w:bidi w:val="0"/>
        <w:spacing w:before="0" w:after="0" w:line="360" w:lineRule="auto"/>
        <w:rPr>
          <w:rFonts w:asciiTheme="majorHAnsi" w:hAnsiTheme="majorHAnsi" w:eastAsiaTheme="majorEastAsia" w:cstheme="majorBidi"/>
          <w:b/>
          <w:bCs/>
          <w:color w:val="auto"/>
          <w:sz w:val="28"/>
          <w:szCs w:val="28"/>
          <w:highlight w:val="none"/>
        </w:rPr>
      </w:pPr>
      <w:bookmarkStart w:id="0" w:name="_Toc20722"/>
      <w:r>
        <w:rPr>
          <w:rFonts w:hint="eastAsia" w:asciiTheme="majorHAnsi" w:hAnsiTheme="majorHAnsi" w:eastAsiaTheme="majorEastAsia" w:cstheme="majorBidi"/>
          <w:b/>
          <w:bCs/>
          <w:color w:val="auto"/>
          <w:sz w:val="28"/>
          <w:szCs w:val="28"/>
          <w:highlight w:val="none"/>
        </w:rPr>
        <w:t>第一部分 投标邀请</w:t>
      </w:r>
      <w:bookmarkEnd w:id="0"/>
    </w:p>
    <w:p w14:paraId="378CCFD0">
      <w:pPr>
        <w:pStyle w:val="4"/>
        <w:pageBreakBefore w:val="0"/>
        <w:kinsoku/>
        <w:topLinePunct w:val="0"/>
        <w:autoSpaceDE/>
        <w:autoSpaceDN/>
        <w:bidi w:val="0"/>
        <w:spacing w:before="0" w:after="0" w:line="360" w:lineRule="auto"/>
        <w:jc w:val="center"/>
        <w:rPr>
          <w:rFonts w:ascii="宋体" w:hAnsi="宋体" w:eastAsia="宋体" w:cs="宋体"/>
          <w:color w:val="auto"/>
          <w:highlight w:val="none"/>
        </w:rPr>
      </w:pPr>
      <w:bookmarkStart w:id="1" w:name="_Toc13903"/>
      <w:r>
        <w:rPr>
          <w:rFonts w:hint="eastAsia" w:ascii="宋体" w:hAnsi="宋体" w:eastAsia="宋体" w:cs="宋体"/>
          <w:color w:val="auto"/>
          <w:highlight w:val="none"/>
        </w:rPr>
        <w:t>投标邀请书</w:t>
      </w:r>
      <w:bookmarkEnd w:id="1"/>
    </w:p>
    <w:p w14:paraId="1E2491F2">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东莞市民政局</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val="0"/>
          <w:bCs/>
          <w:color w:val="auto"/>
          <w:sz w:val="21"/>
          <w:szCs w:val="21"/>
          <w:highlight w:val="none"/>
          <w:u w:val="single"/>
        </w:rPr>
        <w:t>2025－2026年“幸福加油站一婚姻护航”婚姻家庭辅导项目</w:t>
      </w:r>
      <w:r>
        <w:rPr>
          <w:rFonts w:hint="eastAsia" w:ascii="宋体" w:hAnsi="宋体" w:eastAsia="宋体"/>
          <w:b w:val="0"/>
          <w:bCs/>
          <w:color w:val="auto"/>
          <w:sz w:val="21"/>
          <w:szCs w:val="21"/>
          <w:highlight w:val="none"/>
        </w:rPr>
        <w:t>（采购项目编号：</w:t>
      </w:r>
      <w:r>
        <w:rPr>
          <w:rFonts w:hint="eastAsia" w:ascii="宋体" w:hAnsi="宋体" w:eastAsia="宋体"/>
          <w:b w:val="0"/>
          <w:bCs/>
          <w:color w:val="auto"/>
          <w:sz w:val="21"/>
          <w:szCs w:val="21"/>
          <w:highlight w:val="none"/>
          <w:u w:val="single"/>
        </w:rPr>
        <w:t>0832-SFCX25DG064C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14:paraId="0455DA6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b/>
          <w:color w:val="auto"/>
          <w:sz w:val="21"/>
          <w:szCs w:val="21"/>
          <w:highlight w:val="none"/>
        </w:rPr>
      </w:pPr>
    </w:p>
    <w:p w14:paraId="25AE2106">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14:paraId="19B5B5A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val="0"/>
          <w:bCs/>
          <w:color w:val="auto"/>
          <w:sz w:val="21"/>
          <w:szCs w:val="21"/>
          <w:highlight w:val="none"/>
          <w:u w:val="single"/>
        </w:rPr>
        <w:t>2025－2026年“幸福加油站一婚姻护航”婚姻家庭辅导项目</w:t>
      </w:r>
      <w:r>
        <w:rPr>
          <w:rFonts w:hint="eastAsia" w:ascii="宋体" w:hAnsi="宋体" w:eastAsia="宋体"/>
          <w:b w:val="0"/>
          <w:bCs/>
          <w:color w:val="auto"/>
          <w:sz w:val="21"/>
          <w:szCs w:val="21"/>
          <w:highlight w:val="none"/>
        </w:rPr>
        <w:t>采购一项，预算：</w:t>
      </w:r>
      <w:r>
        <w:rPr>
          <w:rFonts w:hint="eastAsia" w:ascii="宋体" w:hAnsi="宋体" w:eastAsia="宋体"/>
          <w:b w:val="0"/>
          <w:bCs/>
          <w:color w:val="auto"/>
          <w:sz w:val="21"/>
          <w:szCs w:val="21"/>
          <w:highlight w:val="none"/>
          <w:u w:val="single"/>
          <w:lang w:val="en-US" w:eastAsia="zh-CN"/>
        </w:rPr>
        <w:t>596</w:t>
      </w:r>
      <w:r>
        <w:rPr>
          <w:rFonts w:hint="eastAsia" w:ascii="宋体" w:hAnsi="宋体" w:eastAsia="宋体"/>
          <w:b w:val="0"/>
          <w:bCs/>
          <w:color w:val="auto"/>
          <w:sz w:val="21"/>
          <w:szCs w:val="21"/>
          <w:highlight w:val="none"/>
          <w:u w:val="single"/>
        </w:rPr>
        <w:t>,</w:t>
      </w:r>
      <w:r>
        <w:rPr>
          <w:rFonts w:hint="eastAsia" w:ascii="宋体" w:hAnsi="宋体" w:eastAsia="宋体"/>
          <w:b w:val="0"/>
          <w:bCs/>
          <w:color w:val="auto"/>
          <w:sz w:val="21"/>
          <w:szCs w:val="21"/>
          <w:highlight w:val="none"/>
          <w:u w:val="single"/>
          <w:lang w:val="en-US" w:eastAsia="zh-CN"/>
        </w:rPr>
        <w:t>380</w:t>
      </w:r>
      <w:r>
        <w:rPr>
          <w:rFonts w:hint="eastAsia" w:ascii="宋体" w:hAnsi="宋体" w:eastAsia="宋体"/>
          <w:b w:val="0"/>
          <w:bCs/>
          <w:color w:val="auto"/>
          <w:sz w:val="21"/>
          <w:szCs w:val="21"/>
          <w:highlight w:val="none"/>
          <w:u w:val="single"/>
        </w:rPr>
        <w:t>.00</w:t>
      </w:r>
      <w:r>
        <w:rPr>
          <w:rFonts w:hint="eastAsia" w:ascii="宋体" w:hAnsi="宋体" w:eastAsia="宋体"/>
          <w:b w:val="0"/>
          <w:bCs/>
          <w:color w:val="auto"/>
          <w:sz w:val="21"/>
          <w:szCs w:val="21"/>
          <w:highlight w:val="none"/>
        </w:rPr>
        <w:t>元。</w:t>
      </w:r>
    </w:p>
    <w:p w14:paraId="2B09189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2、本项目不接受联合体投标。</w:t>
      </w:r>
    </w:p>
    <w:p w14:paraId="24C37C2C">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、简要技术要求或招标项目的性质：详细内容请参阅招标文件第三部分《用户需求书》。</w:t>
      </w:r>
    </w:p>
    <w:p w14:paraId="0C04F05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b/>
          <w:color w:val="auto"/>
          <w:sz w:val="21"/>
          <w:szCs w:val="21"/>
          <w:highlight w:val="none"/>
        </w:rPr>
      </w:pPr>
    </w:p>
    <w:p w14:paraId="4DE17E21">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eastAsia="宋体"/>
          <w:b/>
          <w:color w:val="auto"/>
          <w:sz w:val="21"/>
          <w:szCs w:val="21"/>
          <w:highlight w:val="none"/>
          <w:lang w:eastAsia="zh-CN"/>
        </w:rPr>
        <w:t>申请人的</w:t>
      </w:r>
      <w:r>
        <w:rPr>
          <w:rFonts w:hint="eastAsia" w:ascii="宋体" w:hAnsi="宋体" w:eastAsia="宋体"/>
          <w:b/>
          <w:color w:val="auto"/>
          <w:sz w:val="21"/>
          <w:szCs w:val="21"/>
          <w:highlight w:val="none"/>
        </w:rPr>
        <w:t>资格要求</w:t>
      </w:r>
    </w:p>
    <w:p w14:paraId="7CC21375">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1.投标供应商应具备《政府采购法》第二十二条规定的条件，提供下列材料：</w:t>
      </w:r>
    </w:p>
    <w:p w14:paraId="22182A6C">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390B438D">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p>
    <w:p w14:paraId="62FC6B3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2024年度</w:t>
      </w:r>
      <w:r>
        <w:rPr>
          <w:rFonts w:hint="eastAsia" w:ascii="宋体" w:hAnsi="宋体" w:eastAsia="宋体"/>
          <w:color w:val="auto"/>
          <w:sz w:val="21"/>
          <w:szCs w:val="21"/>
          <w:highlight w:val="none"/>
        </w:rPr>
        <w:t>财务状况报告或基本开户行出具的资信证明。</w:t>
      </w:r>
    </w:p>
    <w:p w14:paraId="233500C3">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w:t>
      </w:r>
      <w:r>
        <w:rPr>
          <w:rFonts w:hint="eastAsia" w:ascii="宋体" w:hAnsi="宋体" w:eastAsia="宋体"/>
          <w:color w:val="auto"/>
          <w:sz w:val="21"/>
          <w:szCs w:val="21"/>
          <w:highlight w:val="none"/>
          <w:lang w:eastAsia="zh-CN"/>
        </w:rPr>
        <w:t>需</w:t>
      </w:r>
      <w:r>
        <w:rPr>
          <w:rFonts w:hint="eastAsia" w:ascii="宋体" w:hAnsi="宋体" w:eastAsia="宋体"/>
          <w:color w:val="auto"/>
          <w:sz w:val="21"/>
          <w:szCs w:val="21"/>
          <w:highlight w:val="none"/>
        </w:rPr>
        <w:t>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p>
    <w:p w14:paraId="418A6667">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5）参加采购活动前3年内，在经营活动中没有重大违法记录：在经营活动中没有重大违法记录：参照投标</w:t>
      </w:r>
      <w:r>
        <w:rPr>
          <w:rFonts w:hint="eastAsia" w:ascii="宋体" w:hAnsi="宋体" w:eastAsia="宋体"/>
          <w:color w:val="auto"/>
          <w:sz w:val="21"/>
          <w:szCs w:val="21"/>
          <w:highlight w:val="none"/>
          <w:lang w:eastAsia="zh-CN"/>
        </w:rPr>
        <w:t>文件格式相关承诺格式内容</w:t>
      </w:r>
      <w:r>
        <w:rPr>
          <w:rFonts w:hint="eastAsia" w:ascii="宋体" w:hAnsi="宋体" w:eastAsia="宋体"/>
          <w:color w:val="auto"/>
          <w:sz w:val="21"/>
          <w:szCs w:val="21"/>
          <w:highlight w:val="none"/>
        </w:rPr>
        <w:t>。重大违法记录，是指供应商因违法经营受到刑事处罚或者责令停产停业、吊销许可证或者执照、较大数额罚款等行政处罚。</w:t>
      </w:r>
    </w:p>
    <w:p w14:paraId="494F8838">
      <w:pPr>
        <w:keepNext w:val="0"/>
        <w:keepLines w:val="0"/>
        <w:pageBreakBefore w:val="0"/>
        <w:widowControl/>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投标人如不能完整提供上述2）-4）项证明资料的，须提供资格申明（参照投标文件格式相关承诺格式内容）。</w:t>
      </w:r>
    </w:p>
    <w:p w14:paraId="5F0AAB12">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14:paraId="7471401B">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5BC2F622">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eastAsia="宋体"/>
          <w:color w:val="auto"/>
          <w:highlight w:val="none"/>
          <w:lang w:val="en-US"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本项目的特定资格要求：无。</w:t>
      </w:r>
    </w:p>
    <w:p w14:paraId="1FA422D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b/>
          <w:color w:val="auto"/>
          <w:sz w:val="21"/>
          <w:szCs w:val="21"/>
          <w:highlight w:val="none"/>
        </w:rPr>
      </w:pPr>
    </w:p>
    <w:p w14:paraId="08126958">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eastAsia="宋体"/>
          <w:b/>
          <w:color w:val="auto"/>
          <w:sz w:val="21"/>
          <w:szCs w:val="21"/>
          <w:highlight w:val="none"/>
          <w:lang w:eastAsia="zh-CN"/>
        </w:rPr>
        <w:t>招标文件领购</w:t>
      </w:r>
      <w:r>
        <w:rPr>
          <w:rFonts w:hint="eastAsia" w:ascii="宋体" w:hAnsi="宋体" w:eastAsia="宋体"/>
          <w:b/>
          <w:color w:val="auto"/>
          <w:sz w:val="21"/>
          <w:szCs w:val="21"/>
          <w:highlight w:val="none"/>
        </w:rPr>
        <w:t>时间、地点、方式</w:t>
      </w:r>
    </w:p>
    <w:p w14:paraId="7D45A237">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eastAsia="宋体"/>
          <w:color w:val="auto"/>
          <w:sz w:val="21"/>
          <w:szCs w:val="21"/>
          <w:highlight w:val="none"/>
          <w:lang w:eastAsia="zh-CN"/>
        </w:rPr>
        <w:t>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18</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日。</w:t>
      </w:r>
    </w:p>
    <w:p w14:paraId="1DD24171">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招标文件领购时间：2025年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18</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eastAsia="zh-CN"/>
        </w:rPr>
        <w:t>，每天上午9:00至12:00，下午14:30至17:30（北京时间，法定节假日除外）</w:t>
      </w:r>
    </w:p>
    <w:p w14:paraId="74B22FB8">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方式：线上领购</w:t>
      </w:r>
    </w:p>
    <w:p w14:paraId="347CD79C">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（1）进入“三方诚信招标东莞分公司”微信公众号或微信小程序，按照流程指引进行报名及缴费；如技术故障或操作困难等原因无法线上领购，可在规定时间至采购代理机构联系地址现场领购；</w:t>
      </w:r>
    </w:p>
    <w:p w14:paraId="5D573EB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须提前准备如下材料：《营业执照》复印件（加盖公章）或《事业单位法人证书》复印件（加盖公章）或其他主体证明复印件（加盖公章），自然人参加投标须提供自然人的身份证明材料；分支机构投标的，须提供总公司和分公司营业执照副本复印件，以及总公司出具给分支机构的授权书；</w:t>
      </w:r>
    </w:p>
    <w:p w14:paraId="143B88A8">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（3）须在领购时间内进行报名，逾期报名无效，任何投标人因逾期报名或误缴费用而导致报名无效的，自行承担相应责任；</w:t>
      </w:r>
    </w:p>
    <w:p w14:paraId="27731333">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（4）领购价格：人民币300元整；领购咨询人：陈小姐；领购咨询电话：0769-21682660，21682600。</w:t>
      </w:r>
    </w:p>
    <w:p w14:paraId="71B800F8">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b/>
          <w:color w:val="auto"/>
          <w:sz w:val="21"/>
          <w:szCs w:val="21"/>
          <w:highlight w:val="none"/>
        </w:rPr>
      </w:pPr>
    </w:p>
    <w:p w14:paraId="7722B067">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14:paraId="377A6D75">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w:t>
      </w:r>
      <w:r>
        <w:rPr>
          <w:rFonts w:hint="eastAsia" w:ascii="宋体" w:hAnsi="宋体" w:eastAsia="宋体"/>
          <w:bCs/>
          <w:color w:val="auto"/>
          <w:sz w:val="21"/>
          <w:szCs w:val="21"/>
          <w:highlight w:val="none"/>
          <w:lang w:eastAsia="zh-CN"/>
        </w:rPr>
        <w:t>2025年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14</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14:paraId="5DDCD1DB">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w:t>
      </w:r>
      <w:r>
        <w:rPr>
          <w:rFonts w:hint="eastAsia" w:ascii="宋体" w:hAnsi="宋体" w:eastAsia="宋体"/>
          <w:bCs/>
          <w:color w:val="auto"/>
          <w:sz w:val="21"/>
          <w:szCs w:val="21"/>
          <w:highlight w:val="none"/>
          <w:lang w:eastAsia="zh-CN"/>
        </w:rPr>
        <w:t>2025年</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8</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 xml:space="preserve"> 14</w:t>
      </w:r>
      <w:r>
        <w:rPr>
          <w:rFonts w:hint="eastAsia" w:ascii="宋体" w:hAnsi="宋体" w:eastAsia="宋体"/>
          <w:bCs/>
          <w:color w:val="auto"/>
          <w:sz w:val="21"/>
          <w:szCs w:val="21"/>
          <w:highlight w:val="none"/>
        </w:rPr>
        <w:t>时30分</w:t>
      </w:r>
      <w:bookmarkStart w:id="175" w:name="_GoBack"/>
      <w:bookmarkEnd w:id="175"/>
      <w:r>
        <w:rPr>
          <w:rFonts w:hint="eastAsia" w:ascii="宋体" w:hAnsi="宋体" w:eastAsia="宋体"/>
          <w:bCs/>
          <w:color w:val="auto"/>
          <w:sz w:val="21"/>
          <w:szCs w:val="21"/>
          <w:highlight w:val="none"/>
        </w:rPr>
        <w:t>。</w:t>
      </w:r>
    </w:p>
    <w:p w14:paraId="5DFBAFB2">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bCs/>
          <w:color w:val="auto"/>
          <w:sz w:val="21"/>
          <w:szCs w:val="21"/>
          <w:highlight w:val="none"/>
        </w:rPr>
        <w:t>东莞市南城街道鸿福西路81号国际商会大厦</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rPr>
        <w:t>01室。</w:t>
      </w:r>
    </w:p>
    <w:p w14:paraId="346EB64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b/>
          <w:color w:val="auto"/>
          <w:sz w:val="21"/>
          <w:szCs w:val="21"/>
          <w:highlight w:val="none"/>
        </w:rPr>
      </w:pPr>
    </w:p>
    <w:p w14:paraId="432EFE98">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14:paraId="37A132CD">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eastAsia="zh-CN"/>
        </w:rPr>
        <w:t>东莞市民政局</w:t>
      </w:r>
    </w:p>
    <w:p w14:paraId="50072A02">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highlight w:val="none"/>
          <w:lang w:eastAsia="zh-CN"/>
        </w:rPr>
        <w:t>东莞市莞城街道汇峰路</w:t>
      </w:r>
      <w:r>
        <w:rPr>
          <w:rFonts w:hint="eastAsia" w:ascii="宋体" w:hAnsi="宋体" w:eastAsia="宋体"/>
          <w:bCs/>
          <w:color w:val="auto"/>
          <w:sz w:val="21"/>
          <w:szCs w:val="21"/>
          <w:highlight w:val="none"/>
          <w:lang w:val="en-US" w:eastAsia="zh-CN"/>
        </w:rPr>
        <w:t>1号汇峰中心H区4-5楼</w:t>
      </w:r>
    </w:p>
    <w:p w14:paraId="36DEC664">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0769-22832532</w:t>
      </w:r>
    </w:p>
    <w:p w14:paraId="4E41C75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p>
    <w:p w14:paraId="39F92A38">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采购代理机构名称：三方诚信招标有限公司东莞分公司</w:t>
      </w:r>
    </w:p>
    <w:p w14:paraId="1F540D27">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地址：东莞市南城街道鸿福西路81号国际商会大厦706室</w:t>
      </w:r>
    </w:p>
    <w:p w14:paraId="0A1437A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谭杰滨</w:t>
      </w:r>
    </w:p>
    <w:p w14:paraId="2E5FCC23">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联系电话：0769-21682660</w:t>
      </w:r>
    </w:p>
    <w:p w14:paraId="0416DB5B">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olor w:val="auto"/>
          <w:sz w:val="21"/>
          <w:szCs w:val="21"/>
          <w:highlight w:val="none"/>
        </w:rPr>
        <w:t xml:space="preserve">E－ </w:t>
      </w:r>
      <w:r>
        <w:rPr>
          <w:rFonts w:hint="eastAsia" w:ascii="宋体" w:hAnsi="宋体" w:eastAsia="宋体"/>
          <w:color w:val="auto"/>
          <w:sz w:val="21"/>
          <w:szCs w:val="21"/>
          <w:highlight w:val="none"/>
          <w:lang w:val="en-US" w:eastAsia="zh-CN"/>
        </w:rPr>
        <w:t>mail：562968310@qq.com</w:t>
      </w:r>
    </w:p>
    <w:p w14:paraId="29832C6B">
      <w:pPr>
        <w:keepNext w:val="0"/>
        <w:keepLines w:val="0"/>
        <w:pageBreakBefore w:val="0"/>
        <w:widowControl/>
        <w:kinsoku/>
        <w:wordWrap/>
        <w:overflowPunct/>
        <w:topLinePunct w:val="0"/>
        <w:autoSpaceDE/>
        <w:autoSpaceDN/>
        <w:bidi w:val="0"/>
        <w:adjustRightInd/>
        <w:snapToGrid/>
        <w:spacing w:line="400" w:lineRule="exact"/>
        <w:ind w:right="788" w:rightChars="358"/>
        <w:jc w:val="right"/>
        <w:textAlignment w:val="auto"/>
        <w:rPr>
          <w:rFonts w:hint="eastAsia" w:ascii="宋体" w:hAnsi="宋体" w:eastAsia="宋体" w:cs="宋体"/>
          <w:color w:val="auto"/>
          <w:sz w:val="21"/>
          <w:szCs w:val="21"/>
          <w:highlight w:val="none"/>
        </w:rPr>
      </w:pPr>
    </w:p>
    <w:p w14:paraId="2F7F757A">
      <w:pPr>
        <w:keepNext w:val="0"/>
        <w:keepLines w:val="0"/>
        <w:pageBreakBefore w:val="0"/>
        <w:widowControl/>
        <w:kinsoku/>
        <w:wordWrap/>
        <w:overflowPunct/>
        <w:topLinePunct w:val="0"/>
        <w:autoSpaceDE/>
        <w:autoSpaceDN/>
        <w:bidi w:val="0"/>
        <w:adjustRightInd/>
        <w:snapToGrid/>
        <w:spacing w:line="400" w:lineRule="exact"/>
        <w:ind w:right="788" w:rightChars="358"/>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三方诚信招标有限公司东莞分公司</w:t>
      </w:r>
    </w:p>
    <w:p w14:paraId="1701A0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2025年8</w:t>
      </w:r>
      <w:r>
        <w:rPr>
          <w:rFonts w:hint="eastAsia" w:ascii="宋体" w:hAnsi="宋体" w:eastAsia="宋体" w:cs="宋体"/>
          <w:color w:val="auto"/>
          <w:sz w:val="21"/>
          <w:szCs w:val="21"/>
          <w:highlight w:val="none"/>
        </w:rPr>
        <w:t>月</w:t>
      </w:r>
    </w:p>
    <w:p w14:paraId="31C94EC3">
      <w:pPr>
        <w:pageBreakBefore w:val="0"/>
        <w:kinsoku/>
        <w:topLinePunct w:val="0"/>
        <w:autoSpaceDE/>
        <w:autoSpaceDN/>
        <w:bidi w:val="0"/>
        <w:spacing w:line="360" w:lineRule="auto"/>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14:paraId="386FF23E">
      <w:pPr>
        <w:pStyle w:val="3"/>
        <w:pageBreakBefore w:val="0"/>
        <w:kinsoku/>
        <w:topLinePunct w:val="0"/>
        <w:autoSpaceDE/>
        <w:autoSpaceDN/>
        <w:bidi w:val="0"/>
        <w:spacing w:before="0" w:after="0" w:line="360" w:lineRule="auto"/>
        <w:rPr>
          <w:color w:val="auto"/>
          <w:sz w:val="28"/>
          <w:szCs w:val="28"/>
          <w:highlight w:val="none"/>
        </w:rPr>
      </w:pPr>
      <w:bookmarkStart w:id="2" w:name="_Toc857"/>
      <w:r>
        <w:rPr>
          <w:rFonts w:hint="eastAsia"/>
          <w:color w:val="auto"/>
          <w:sz w:val="28"/>
          <w:szCs w:val="28"/>
          <w:highlight w:val="none"/>
        </w:rPr>
        <w:t>第二部分 相关资料表格</w:t>
      </w:r>
      <w:bookmarkEnd w:id="2"/>
    </w:p>
    <w:p w14:paraId="4E8DBC03">
      <w:pPr>
        <w:pStyle w:val="4"/>
        <w:pageBreakBefore w:val="0"/>
        <w:kinsoku/>
        <w:wordWrap/>
        <w:overflowPunct/>
        <w:topLinePunct w:val="0"/>
        <w:autoSpaceDE/>
        <w:autoSpaceDN/>
        <w:bidi w:val="0"/>
        <w:spacing w:before="0" w:after="0" w:line="360" w:lineRule="auto"/>
        <w:jc w:val="center"/>
        <w:textAlignment w:val="auto"/>
        <w:rPr>
          <w:rFonts w:ascii="宋体" w:hAnsi="宋体" w:eastAsia="宋体" w:cs="宋体"/>
          <w:color w:val="auto"/>
          <w:sz w:val="24"/>
          <w:szCs w:val="24"/>
          <w:highlight w:val="none"/>
        </w:rPr>
      </w:pPr>
      <w:bookmarkStart w:id="3" w:name="_Toc17481"/>
      <w:r>
        <w:rPr>
          <w:rFonts w:hint="eastAsia" w:ascii="宋体" w:hAnsi="宋体" w:eastAsia="宋体" w:cs="宋体"/>
          <w:color w:val="auto"/>
          <w:sz w:val="24"/>
          <w:szCs w:val="24"/>
          <w:highlight w:val="none"/>
        </w:rPr>
        <w:t>附表一：投标资料表</w:t>
      </w:r>
      <w:bookmarkEnd w:id="3"/>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14:paraId="2E5CB54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14:paraId="7AAF54B7">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14:paraId="2D6B1956">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14:paraId="6896B7D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14:paraId="0C775B7B">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14:paraId="4B7EDB4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042EFB16">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14:paraId="6432592D">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14:paraId="4555434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E18EE32">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362EBC27">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14:paraId="63EC80C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85" w:hRule="atLeast"/>
        </w:trPr>
        <w:tc>
          <w:tcPr>
            <w:tcW w:w="878" w:type="dxa"/>
            <w:vMerge w:val="restart"/>
            <w:vAlign w:val="center"/>
          </w:tcPr>
          <w:p w14:paraId="18832790">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14:paraId="2D498F74">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项目类型</w:t>
            </w:r>
          </w:p>
        </w:tc>
      </w:tr>
      <w:tr w14:paraId="1A2BC5E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A65E45C">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7C0B0696">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14:paraId="048246A3">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61860C2">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1035B3C0">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所属行业：其他未列明行业</w:t>
            </w:r>
          </w:p>
        </w:tc>
      </w:tr>
      <w:tr w14:paraId="3A106AA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6C70564E">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14:paraId="780B5629">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14:paraId="0A13D9E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57D18920">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0DE14326">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bCs/>
                <w:color w:val="auto"/>
                <w:sz w:val="21"/>
                <w:szCs w:val="21"/>
                <w:highlight w:val="none"/>
              </w:rPr>
            </w:pPr>
            <w:r>
              <w:rPr>
                <w:rFonts w:hint="eastAsia" w:ascii="宋体" w:hAnsi="宋体" w:eastAsia="宋体"/>
                <w:bCs/>
                <w:color w:val="auto"/>
                <w:sz w:val="21"/>
                <w:szCs w:val="21"/>
                <w:highlight w:val="none"/>
                <w:lang w:val="en-US" w:eastAsia="zh-CN"/>
              </w:rPr>
              <w:t>财政性资金。</w:t>
            </w:r>
          </w:p>
        </w:tc>
      </w:tr>
      <w:tr w14:paraId="17570B0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14:paraId="72D14F1A">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14:paraId="0D1F16CB">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olor w:val="auto"/>
                <w:sz w:val="21"/>
                <w:szCs w:val="21"/>
                <w:highlight w:val="none"/>
              </w:rPr>
            </w:pPr>
            <w:r>
              <w:rPr>
                <w:rFonts w:hint="eastAsia" w:ascii="宋体" w:hAnsi="宋体" w:eastAsia="宋体"/>
                <w:b/>
                <w:color w:val="auto"/>
                <w:sz w:val="21"/>
                <w:szCs w:val="21"/>
                <w:highlight w:val="none"/>
                <w:lang w:eastAsia="zh-CN"/>
              </w:rPr>
              <w:t>是否为专门面向中小企业</w:t>
            </w:r>
            <w:r>
              <w:rPr>
                <w:rFonts w:hint="eastAsia" w:ascii="宋体" w:hAnsi="宋体" w:eastAsia="宋体"/>
                <w:b/>
                <w:bCs w:val="0"/>
                <w:color w:val="auto"/>
                <w:sz w:val="21"/>
                <w:szCs w:val="21"/>
                <w:highlight w:val="none"/>
                <w:lang w:eastAsia="zh-CN"/>
              </w:rPr>
              <w:t>采购的采购项目</w:t>
            </w:r>
          </w:p>
        </w:tc>
      </w:tr>
      <w:tr w14:paraId="143555B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3D76CCD0">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78B7CA58">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14:paraId="56B9147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878" w:type="dxa"/>
            <w:vMerge w:val="restart"/>
            <w:vAlign w:val="center"/>
          </w:tcPr>
          <w:p w14:paraId="7DB14FEE">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14:paraId="0AEE6ED5">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b/>
                <w:bCs w:val="0"/>
                <w:color w:val="auto"/>
                <w:sz w:val="21"/>
                <w:szCs w:val="21"/>
                <w:highlight w:val="none"/>
                <w:lang w:eastAsia="zh-CN"/>
              </w:rPr>
            </w:pPr>
            <w:r>
              <w:rPr>
                <w:rFonts w:hint="eastAsia" w:ascii="宋体" w:hAnsi="宋体" w:eastAsia="宋体"/>
                <w:b/>
                <w:color w:val="auto"/>
                <w:sz w:val="21"/>
                <w:szCs w:val="21"/>
                <w:highlight w:val="none"/>
                <w:lang w:eastAsia="zh-CN"/>
              </w:rPr>
              <w:t>是否为预留份额专门面向中小企业</w:t>
            </w:r>
            <w:r>
              <w:rPr>
                <w:rFonts w:hint="eastAsia" w:ascii="宋体" w:hAnsi="宋体" w:eastAsia="宋体"/>
                <w:b/>
                <w:bCs w:val="0"/>
                <w:color w:val="auto"/>
                <w:sz w:val="21"/>
                <w:szCs w:val="21"/>
                <w:highlight w:val="none"/>
                <w:lang w:eastAsia="zh-CN"/>
              </w:rPr>
              <w:t>采购</w:t>
            </w:r>
          </w:p>
        </w:tc>
      </w:tr>
      <w:tr w14:paraId="29CF3E1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367" w:hRule="atLeast"/>
        </w:trPr>
        <w:tc>
          <w:tcPr>
            <w:tcW w:w="878" w:type="dxa"/>
            <w:vMerge w:val="continue"/>
            <w:vAlign w:val="center"/>
          </w:tcPr>
          <w:p w14:paraId="43673B74">
            <w:pPr>
              <w:keepNext w:val="0"/>
              <w:keepLines w:val="0"/>
              <w:pageBreakBefore w:val="0"/>
              <w:kinsoku/>
              <w:wordWrap/>
              <w:overflowPunct/>
              <w:topLinePunct w:val="0"/>
              <w:autoSpaceDE/>
              <w:autoSpaceDN/>
              <w:bidi w:val="0"/>
              <w:adjustRightInd/>
              <w:snapToGrid/>
              <w:spacing w:after="0" w:line="300" w:lineRule="exact"/>
              <w:textAlignment w:val="auto"/>
              <w:rPr>
                <w:color w:val="auto"/>
                <w:highlight w:val="none"/>
              </w:rPr>
            </w:pPr>
          </w:p>
        </w:tc>
        <w:tc>
          <w:tcPr>
            <w:tcW w:w="7532" w:type="dxa"/>
            <w:gridSpan w:val="4"/>
            <w:vAlign w:val="center"/>
          </w:tcPr>
          <w:p w14:paraId="23D6A8A5">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b/>
                <w:bCs w:val="0"/>
                <w:color w:val="auto"/>
                <w:sz w:val="21"/>
                <w:szCs w:val="21"/>
                <w:highlight w:val="none"/>
                <w:lang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eastAsia="zh-CN"/>
              </w:rPr>
              <w:t>（预留份额为</w:t>
            </w:r>
            <w:r>
              <w:rPr>
                <w:rFonts w:hint="eastAsia" w:ascii="宋体" w:hAnsi="宋体" w:eastAsia="宋体"/>
                <w:bCs/>
                <w:color w:val="auto"/>
                <w:sz w:val="21"/>
                <w:szCs w:val="21"/>
                <w:highlight w:val="none"/>
                <w:u w:val="single"/>
                <w:lang w:eastAsia="zh-CN"/>
              </w:rPr>
              <w:t>：</w:t>
            </w:r>
            <w:r>
              <w:rPr>
                <w:rFonts w:hint="eastAsia" w:ascii="宋体" w:hAnsi="宋体" w:eastAsia="宋体"/>
                <w:bCs/>
                <w:color w:val="auto"/>
                <w:sz w:val="21"/>
                <w:szCs w:val="21"/>
                <w:highlight w:val="none"/>
                <w:u w:val="single"/>
                <w:lang w:val="en-US" w:eastAsia="zh-CN"/>
              </w:rPr>
              <w:t xml:space="preserve">   </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lang w:eastAsia="zh-CN"/>
              </w:rPr>
              <w:t>）</w:t>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14:paraId="38D3246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7DA83B64">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14:paraId="30D8A77D">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14:paraId="197B0F7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65035C55">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287B5124">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14:paraId="4557F4E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14:paraId="567BEEFA">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14:paraId="064C86B8">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14:paraId="7B898EB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14:paraId="59B266D4">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3762" w:type="dxa"/>
            <w:gridSpan w:val="2"/>
            <w:vAlign w:val="center"/>
          </w:tcPr>
          <w:p w14:paraId="4B058ED1">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三方诚信招标网</w:t>
            </w:r>
          </w:p>
        </w:tc>
        <w:tc>
          <w:tcPr>
            <w:tcW w:w="3770" w:type="dxa"/>
            <w:gridSpan w:val="2"/>
            <w:vAlign w:val="center"/>
          </w:tcPr>
          <w:p w14:paraId="283D12DC">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w:t>
            </w:r>
            <w:r>
              <w:rPr>
                <w:rFonts w:hint="eastAsia" w:ascii="宋体" w:hAnsi="宋体" w:eastAsia="宋体"/>
                <w:b/>
                <w:color w:val="auto"/>
                <w:sz w:val="21"/>
                <w:szCs w:val="21"/>
                <w:highlight w:val="none"/>
                <w:lang w:eastAsia="zh-CN"/>
              </w:rPr>
              <w:t>采购与招标网</w:t>
            </w:r>
          </w:p>
        </w:tc>
      </w:tr>
      <w:tr w14:paraId="56973FF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14:paraId="19D96A9A">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3762" w:type="dxa"/>
            <w:gridSpan w:val="2"/>
            <w:vAlign w:val="center"/>
          </w:tcPr>
          <w:p w14:paraId="31167839">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val="0"/>
                <w:bCs/>
                <w:color w:val="auto"/>
                <w:sz w:val="21"/>
                <w:szCs w:val="21"/>
                <w:highlight w:val="none"/>
              </w:rPr>
              <w:t>http://www.sfcx.cn/</w:t>
            </w:r>
          </w:p>
        </w:tc>
        <w:tc>
          <w:tcPr>
            <w:tcW w:w="3770" w:type="dxa"/>
            <w:gridSpan w:val="2"/>
            <w:vAlign w:val="center"/>
          </w:tcPr>
          <w:p w14:paraId="04B7CB43">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https://www.chinabidding.cn/</w:t>
            </w:r>
          </w:p>
        </w:tc>
      </w:tr>
      <w:tr w14:paraId="2574680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14:paraId="2511950E">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14:paraId="4DA155D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618C0F22">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14:paraId="36443172">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14:paraId="5DAD2E3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A14D800">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5FB727F1">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14:paraId="49EF0ED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5D66E407">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14:paraId="4FE4AA17">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14:paraId="44270AE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6A14030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64015E59">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14:paraId="6606686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0DC2ACC5">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14:paraId="425D29AC">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14:paraId="7EC0360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76709F50">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1304BA6C">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14:paraId="6385449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14:paraId="1893E50C">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14:paraId="41482AE8">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r>
              <w:rPr>
                <w:rFonts w:hint="eastAsia" w:ascii="宋体" w:hAnsi="宋体" w:eastAsia="宋体"/>
                <w:b/>
                <w:color w:val="auto"/>
                <w:sz w:val="21"/>
                <w:szCs w:val="21"/>
                <w:highlight w:val="none"/>
                <w:lang w:eastAsia="zh-CN"/>
              </w:rPr>
              <w:t>（本项目为服务项目，无核心产品）</w:t>
            </w:r>
          </w:p>
        </w:tc>
      </w:tr>
      <w:tr w14:paraId="70EAD1F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488C1E06">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p>
        </w:tc>
        <w:tc>
          <w:tcPr>
            <w:tcW w:w="7532" w:type="dxa"/>
            <w:gridSpan w:val="4"/>
            <w:vAlign w:val="center"/>
          </w:tcPr>
          <w:p w14:paraId="3E139391">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14:paraId="78AB4B2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14:paraId="0CE69E11">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14:paraId="351467B4">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投标保证金</w:t>
            </w:r>
          </w:p>
        </w:tc>
      </w:tr>
      <w:tr w14:paraId="7AC2834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14:paraId="6356029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33219785">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本项目不收取</w:t>
            </w:r>
            <w:r>
              <w:rPr>
                <w:rFonts w:hint="eastAsia" w:ascii="宋体" w:hAnsi="宋体" w:eastAsia="宋体"/>
                <w:color w:val="auto"/>
                <w:sz w:val="21"/>
                <w:szCs w:val="21"/>
                <w:highlight w:val="none"/>
              </w:rPr>
              <w:t>。</w:t>
            </w:r>
          </w:p>
        </w:tc>
      </w:tr>
      <w:tr w14:paraId="3AFA7DB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476ABDFC">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13</w:t>
            </w:r>
          </w:p>
        </w:tc>
        <w:tc>
          <w:tcPr>
            <w:tcW w:w="7532" w:type="dxa"/>
            <w:gridSpan w:val="4"/>
            <w:vAlign w:val="center"/>
          </w:tcPr>
          <w:p w14:paraId="7154220A">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14:paraId="1A412D2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31C7229A">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4177131C">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14:paraId="0F423BD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14:paraId="67246D49">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4"/>
            <w:vAlign w:val="center"/>
          </w:tcPr>
          <w:p w14:paraId="19E52AD9">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14:paraId="2D1C634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6437A6ED">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val="en-US" w:eastAsia="zh-CN"/>
              </w:rPr>
            </w:pPr>
          </w:p>
        </w:tc>
        <w:tc>
          <w:tcPr>
            <w:tcW w:w="3766" w:type="dxa"/>
            <w:gridSpan w:val="3"/>
            <w:vAlign w:val="center"/>
          </w:tcPr>
          <w:p w14:paraId="783798D5">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信用中国</w:t>
            </w:r>
          </w:p>
        </w:tc>
        <w:tc>
          <w:tcPr>
            <w:tcW w:w="3766" w:type="dxa"/>
            <w:vAlign w:val="center"/>
          </w:tcPr>
          <w:p w14:paraId="0C58A630">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14:paraId="4AB478B6">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2C18BAAF">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lang w:val="en-US" w:eastAsia="zh-CN"/>
              </w:rPr>
            </w:pPr>
          </w:p>
        </w:tc>
        <w:tc>
          <w:tcPr>
            <w:tcW w:w="3766" w:type="dxa"/>
            <w:gridSpan w:val="3"/>
            <w:vAlign w:val="center"/>
          </w:tcPr>
          <w:p w14:paraId="01E8F920">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vAlign w:val="center"/>
          </w:tcPr>
          <w:p w14:paraId="0B48BDF7">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1"/>
                <w:szCs w:val="21"/>
                <w:highlight w:val="none"/>
              </w:rPr>
            </w:pPr>
            <w:r>
              <w:rPr>
                <w:rFonts w:ascii="宋体" w:hAnsi="宋体" w:eastAsia="宋体"/>
                <w:color w:val="auto"/>
                <w:sz w:val="21"/>
                <w:szCs w:val="21"/>
                <w:highlight w:val="none"/>
              </w:rPr>
              <w:t>http://www.ccgp.gov.cn/</w:t>
            </w:r>
          </w:p>
        </w:tc>
      </w:tr>
      <w:tr w14:paraId="4987EA1B">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14:paraId="6A5E58F1">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p>
        </w:tc>
        <w:tc>
          <w:tcPr>
            <w:tcW w:w="7532" w:type="dxa"/>
            <w:gridSpan w:val="4"/>
            <w:vAlign w:val="center"/>
          </w:tcPr>
          <w:p w14:paraId="0794D993">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14:paraId="6CCC9BF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14384D21">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2608" w:type="dxa"/>
            <w:vAlign w:val="center"/>
          </w:tcPr>
          <w:p w14:paraId="00D0023C">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14:paraId="5A71925A">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14:paraId="0C9CED8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33B8216C">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2608" w:type="dxa"/>
            <w:vAlign w:val="center"/>
          </w:tcPr>
          <w:p w14:paraId="78E5640B">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14:paraId="0D984D4A">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14:paraId="1258A0F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334B3837">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2608" w:type="dxa"/>
            <w:vAlign w:val="center"/>
          </w:tcPr>
          <w:p w14:paraId="01A6022E">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14:paraId="4BB04BE5">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14:paraId="3531833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7456610C">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2608" w:type="dxa"/>
            <w:vAlign w:val="center"/>
          </w:tcPr>
          <w:p w14:paraId="39BA05E1">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14:paraId="0A85A948">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5</w:t>
            </w:r>
          </w:p>
        </w:tc>
      </w:tr>
      <w:tr w14:paraId="56F2B45B">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4335E6CB">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2608" w:type="dxa"/>
            <w:vAlign w:val="center"/>
          </w:tcPr>
          <w:p w14:paraId="2FF2C6A4">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14:paraId="168732A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14:paraId="225C584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14:paraId="6568CF59">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14:paraId="46D36986">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3D0CE7A7">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7532" w:type="dxa"/>
            <w:gridSpan w:val="4"/>
            <w:vAlign w:val="center"/>
          </w:tcPr>
          <w:p w14:paraId="286C224A">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14:paraId="3BFCF40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2A539E1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1F9BF249">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14:paraId="32283D7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5E281FF9">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7532" w:type="dxa"/>
            <w:gridSpan w:val="4"/>
            <w:vAlign w:val="center"/>
          </w:tcPr>
          <w:p w14:paraId="2E6449E1">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14:paraId="324EB3AB">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4A0FBB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7A0D853B">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w:t>
            </w:r>
          </w:p>
        </w:tc>
      </w:tr>
      <w:tr w14:paraId="69F5DC7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14:paraId="3DE1B71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14:paraId="39C1821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14:paraId="65965614">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18</w:t>
            </w:r>
          </w:p>
        </w:tc>
        <w:tc>
          <w:tcPr>
            <w:tcW w:w="7532" w:type="dxa"/>
            <w:gridSpan w:val="4"/>
            <w:shd w:val="clear" w:color="auto" w:fill="auto"/>
            <w:vAlign w:val="center"/>
          </w:tcPr>
          <w:p w14:paraId="6CB88DFC">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14:paraId="5826423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14:paraId="23B55CA7">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shd w:val="clear" w:color="auto" w:fill="auto"/>
            <w:vAlign w:val="center"/>
          </w:tcPr>
          <w:p w14:paraId="63652C6D">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14:paraId="1A26E1B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14:paraId="742C712B">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19</w:t>
            </w:r>
          </w:p>
        </w:tc>
        <w:tc>
          <w:tcPr>
            <w:tcW w:w="7532" w:type="dxa"/>
            <w:gridSpan w:val="4"/>
            <w:vAlign w:val="center"/>
          </w:tcPr>
          <w:p w14:paraId="5ED8B173">
            <w:pPr>
              <w:keepNext w:val="0"/>
              <w:keepLines w:val="0"/>
              <w:pageBreakBefore w:val="0"/>
              <w:kinsoku/>
              <w:wordWrap/>
              <w:overflowPunct/>
              <w:topLinePunct w:val="0"/>
              <w:autoSpaceDE/>
              <w:autoSpaceDN/>
              <w:bidi w:val="0"/>
              <w:adjustRightInd/>
              <w:snapToGrid/>
              <w:spacing w:after="0" w:line="300" w:lineRule="exact"/>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14:paraId="4814A06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14:paraId="23998C0F">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4282D7EA">
            <w:pPr>
              <w:keepNext w:val="0"/>
              <w:keepLines w:val="0"/>
              <w:pageBreakBefore w:val="0"/>
              <w:widowControl w:val="0"/>
              <w:tabs>
                <w:tab w:val="left" w:pos="907"/>
              </w:tabs>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国家计委[计价格[2002]1980号]文和国家发改委[发改价格[2011]534号]文及相关规定向中标单位收取，按差额定率累进法计算，以中标通知书中确定的中标总金额作为收费的计算</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；中标服务费最低收费标准</w:t>
            </w:r>
            <w:r>
              <w:rPr>
                <w:rFonts w:hint="eastAsia" w:ascii="宋体" w:hAnsi="宋体" w:eastAsia="宋体"/>
                <w:color w:val="auto"/>
                <w:sz w:val="21"/>
                <w:szCs w:val="21"/>
                <w:highlight w:val="none"/>
                <w:lang w:eastAsia="zh-CN"/>
              </w:rPr>
              <w:t>为陆仟元整</w:t>
            </w:r>
            <w:r>
              <w:rPr>
                <w:rFonts w:hint="eastAsia" w:ascii="宋体" w:hAnsi="宋体" w:eastAsia="宋体"/>
                <w:color w:val="auto"/>
                <w:sz w:val="21"/>
                <w:szCs w:val="21"/>
                <w:highlight w:val="none"/>
              </w:rPr>
              <w:t>。</w:t>
            </w:r>
          </w:p>
        </w:tc>
      </w:tr>
      <w:tr w14:paraId="2628EF9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14:paraId="5BDE26C6">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eastAsia="宋体"/>
                <w:color w:val="auto"/>
                <w:sz w:val="21"/>
                <w:szCs w:val="21"/>
                <w:highlight w:val="none"/>
              </w:rPr>
            </w:pPr>
          </w:p>
        </w:tc>
        <w:tc>
          <w:tcPr>
            <w:tcW w:w="7532" w:type="dxa"/>
            <w:gridSpan w:val="4"/>
            <w:vAlign w:val="center"/>
          </w:tcPr>
          <w:p w14:paraId="4356787F">
            <w:pPr>
              <w:keepNext w:val="0"/>
              <w:keepLines w:val="0"/>
              <w:pageBreakBefore w:val="0"/>
              <w:widowControl w:val="0"/>
              <w:tabs>
                <w:tab w:val="left" w:pos="907"/>
              </w:tabs>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14:paraId="44CBB3FF">
            <w:pPr>
              <w:keepNext w:val="0"/>
              <w:keepLines w:val="0"/>
              <w:pageBreakBefore w:val="0"/>
              <w:widowControl w:val="0"/>
              <w:tabs>
                <w:tab w:val="left" w:pos="907"/>
              </w:tabs>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14:paraId="3AD04705">
            <w:pPr>
              <w:keepNext w:val="0"/>
              <w:keepLines w:val="0"/>
              <w:pageBreakBefore w:val="0"/>
              <w:widowControl w:val="0"/>
              <w:tabs>
                <w:tab w:val="left" w:pos="907"/>
              </w:tabs>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14:paraId="6D101B6A">
            <w:pPr>
              <w:keepNext w:val="0"/>
              <w:keepLines w:val="0"/>
              <w:pageBreakBefore w:val="0"/>
              <w:widowControl w:val="0"/>
              <w:tabs>
                <w:tab w:val="left" w:pos="907"/>
              </w:tabs>
              <w:kinsoku/>
              <w:wordWrap/>
              <w:overflowPunct/>
              <w:topLinePunct w:val="0"/>
              <w:autoSpaceDE/>
              <w:autoSpaceDN/>
              <w:bidi w:val="0"/>
              <w:adjustRightInd/>
              <w:snapToGrid/>
              <w:spacing w:after="0" w:line="3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14:paraId="5A654D9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14:paraId="7BB448D3">
            <w:pPr>
              <w:keepNext w:val="0"/>
              <w:keepLines w:val="0"/>
              <w:pageBreakBefore w:val="0"/>
              <w:widowControl w:val="0"/>
              <w:tabs>
                <w:tab w:val="left" w:pos="907"/>
              </w:tabs>
              <w:kinsoku/>
              <w:wordWrap/>
              <w:overflowPunct/>
              <w:topLinePunct w:val="0"/>
              <w:autoSpaceDE/>
              <w:autoSpaceDN/>
              <w:bidi w:val="0"/>
              <w:adjustRightInd/>
              <w:snapToGrid/>
              <w:spacing w:after="0" w:line="30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14:paraId="2D3B3D36">
      <w:pPr>
        <w:pageBreakBefore w:val="0"/>
        <w:kinsoku/>
        <w:topLinePunct w:val="0"/>
        <w:autoSpaceDE/>
        <w:autoSpaceDN/>
        <w:bidi w:val="0"/>
        <w:spacing w:line="360" w:lineRule="auto"/>
        <w:jc w:val="center"/>
        <w:rPr>
          <w:rFonts w:hint="eastAsia"/>
          <w:color w:val="auto"/>
          <w:highlight w:val="none"/>
        </w:rPr>
      </w:pPr>
    </w:p>
    <w:p w14:paraId="4978BB5C">
      <w:pPr>
        <w:rPr>
          <w:rFonts w:hint="eastAsia" w:ascii="宋体" w:hAnsi="宋体" w:eastAsia="宋体" w:cs="宋体"/>
          <w:color w:val="auto"/>
          <w:sz w:val="24"/>
          <w:szCs w:val="24"/>
          <w:highlight w:val="none"/>
        </w:rPr>
      </w:pPr>
      <w:bookmarkStart w:id="4" w:name="_Toc27394"/>
      <w:r>
        <w:rPr>
          <w:rFonts w:hint="eastAsia" w:ascii="宋体" w:hAnsi="宋体" w:eastAsia="宋体" w:cs="宋体"/>
          <w:color w:val="auto"/>
          <w:sz w:val="24"/>
          <w:szCs w:val="24"/>
          <w:highlight w:val="none"/>
        </w:rPr>
        <w:br w:type="page"/>
      </w:r>
    </w:p>
    <w:p w14:paraId="1ADEA14E">
      <w:pPr>
        <w:pStyle w:val="4"/>
        <w:pageBreakBefore w:val="0"/>
        <w:kinsoku/>
        <w:wordWrap/>
        <w:overflowPunct/>
        <w:topLinePunct w:val="0"/>
        <w:autoSpaceDE/>
        <w:autoSpaceDN/>
        <w:bidi w:val="0"/>
        <w:spacing w:before="0" w:after="0" w:line="360" w:lineRule="auto"/>
        <w:jc w:val="center"/>
        <w:textAlignment w:val="auto"/>
        <w:rPr>
          <w:rFonts w:hint="eastAsia"/>
          <w:color w:val="auto"/>
          <w:sz w:val="28"/>
          <w:szCs w:val="28"/>
          <w:highlight w:val="none"/>
        </w:rPr>
      </w:pPr>
      <w:r>
        <w:rPr>
          <w:rFonts w:hint="eastAsia" w:ascii="宋体" w:hAnsi="宋体" w:eastAsia="宋体" w:cs="宋体"/>
          <w:color w:val="auto"/>
          <w:sz w:val="24"/>
          <w:szCs w:val="24"/>
          <w:highlight w:val="none"/>
        </w:rPr>
        <w:t>附表二：商务技术评分及价格权重表</w:t>
      </w:r>
      <w:bookmarkEnd w:id="4"/>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56"/>
        <w:gridCol w:w="757"/>
        <w:gridCol w:w="131"/>
        <w:gridCol w:w="5488"/>
      </w:tblGrid>
      <w:tr w14:paraId="4B62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EC609B3">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0B7FC019">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57" w:type="dxa"/>
            <w:tcBorders>
              <w:top w:val="single" w:color="auto" w:sz="4" w:space="0"/>
              <w:left w:val="single" w:color="auto" w:sz="4" w:space="0"/>
              <w:bottom w:val="single" w:color="auto" w:sz="4" w:space="0"/>
              <w:right w:val="single" w:color="auto" w:sz="4" w:space="0"/>
            </w:tcBorders>
            <w:vAlign w:val="center"/>
          </w:tcPr>
          <w:p w14:paraId="28D92D6C">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619" w:type="dxa"/>
            <w:gridSpan w:val="2"/>
            <w:tcBorders>
              <w:top w:val="single" w:color="auto" w:sz="4" w:space="0"/>
              <w:left w:val="single" w:color="auto" w:sz="4" w:space="0"/>
              <w:bottom w:val="single" w:color="auto" w:sz="4" w:space="0"/>
              <w:right w:val="single" w:color="auto" w:sz="4" w:space="0"/>
            </w:tcBorders>
            <w:vAlign w:val="center"/>
          </w:tcPr>
          <w:p w14:paraId="11A34063">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E72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4B46BDBB">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40分</w:t>
            </w:r>
            <w:r>
              <w:rPr>
                <w:rFonts w:hint="eastAsia" w:ascii="宋体" w:eastAsia="宋体" w:cs="宋体"/>
                <w:b/>
                <w:bCs/>
                <w:color w:val="auto"/>
                <w:sz w:val="21"/>
                <w:szCs w:val="21"/>
                <w:highlight w:val="none"/>
                <w:lang w:eastAsia="zh-CN"/>
              </w:rPr>
              <w:t>）</w:t>
            </w:r>
          </w:p>
        </w:tc>
      </w:tr>
      <w:tr w14:paraId="25C8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14:paraId="1234CE6E">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456" w:type="dxa"/>
            <w:tcBorders>
              <w:top w:val="single" w:color="auto" w:sz="4" w:space="0"/>
              <w:left w:val="single" w:color="auto" w:sz="4" w:space="0"/>
              <w:right w:val="single" w:color="auto" w:sz="4" w:space="0"/>
            </w:tcBorders>
            <w:vAlign w:val="center"/>
          </w:tcPr>
          <w:p w14:paraId="06B2B65A">
            <w:pPr>
              <w:widowControl w:val="0"/>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c>
          <w:tcPr>
            <w:tcW w:w="757" w:type="dxa"/>
            <w:tcBorders>
              <w:top w:val="single" w:color="auto" w:sz="4" w:space="0"/>
              <w:left w:val="single" w:color="auto" w:sz="4" w:space="0"/>
              <w:bottom w:val="single" w:color="auto" w:sz="4" w:space="0"/>
              <w:right w:val="single" w:color="auto" w:sz="4" w:space="0"/>
            </w:tcBorders>
            <w:vAlign w:val="center"/>
          </w:tcPr>
          <w:p w14:paraId="2A240BBC">
            <w:pPr>
              <w:pStyle w:val="29"/>
              <w:spacing w:line="34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619" w:type="dxa"/>
            <w:gridSpan w:val="2"/>
            <w:tcBorders>
              <w:top w:val="single" w:color="auto" w:sz="4" w:space="0"/>
              <w:left w:val="single" w:color="auto" w:sz="4" w:space="0"/>
              <w:bottom w:val="single" w:color="auto" w:sz="4" w:space="0"/>
              <w:right w:val="single" w:color="auto" w:sz="4" w:space="0"/>
            </w:tcBorders>
            <w:vAlign w:val="top"/>
          </w:tcPr>
          <w:p w14:paraId="13581F98">
            <w:pPr>
              <w:widowControl w:val="0"/>
              <w:adjustRightInd/>
              <w:snapToGrid/>
              <w:spacing w:before="72" w:beforeLines="20" w:after="72" w:afterLines="20"/>
              <w:ind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以单位名义获得的集体荣誉或奖励：市级政府部门颁发的相关荣誉或奖励，每提供1个得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分；获得省级政府部门颁发的相关荣誉或奖励，每提供1个得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分；获得国家级政府部门颁发的相关荣誉或奖励，每提供1个得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 xml:space="preserve">分。最高得10分。 </w:t>
            </w:r>
          </w:p>
          <w:p w14:paraId="436986A3">
            <w:pPr>
              <w:widowControl w:val="0"/>
              <w:adjustRightInd/>
              <w:snapToGrid/>
              <w:spacing w:before="72" w:beforeLines="20" w:after="72" w:afterLines="20"/>
              <w:ind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注：须提供相关证明材料复印件加盖投标人公章。</w:t>
            </w:r>
          </w:p>
        </w:tc>
      </w:tr>
      <w:tr w14:paraId="5B83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003C314">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456" w:type="dxa"/>
            <w:tcBorders>
              <w:top w:val="single" w:color="auto" w:sz="4" w:space="0"/>
              <w:left w:val="single" w:color="auto" w:sz="4" w:space="0"/>
              <w:bottom w:val="single" w:color="auto" w:sz="4" w:space="0"/>
              <w:right w:val="single" w:color="auto" w:sz="4" w:space="0"/>
            </w:tcBorders>
            <w:vAlign w:val="center"/>
          </w:tcPr>
          <w:p w14:paraId="420DCD60">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业绩经验</w:t>
            </w:r>
          </w:p>
        </w:tc>
        <w:tc>
          <w:tcPr>
            <w:tcW w:w="757" w:type="dxa"/>
            <w:tcBorders>
              <w:top w:val="single" w:color="auto" w:sz="4" w:space="0"/>
              <w:left w:val="single" w:color="auto" w:sz="4" w:space="0"/>
              <w:bottom w:val="single" w:color="auto" w:sz="4" w:space="0"/>
              <w:right w:val="single" w:color="auto" w:sz="4" w:space="0"/>
            </w:tcBorders>
            <w:vAlign w:val="center"/>
          </w:tcPr>
          <w:p w14:paraId="4D747041">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619" w:type="dxa"/>
            <w:gridSpan w:val="2"/>
            <w:tcBorders>
              <w:top w:val="single" w:color="auto" w:sz="4" w:space="0"/>
              <w:left w:val="single" w:color="auto" w:sz="4" w:space="0"/>
              <w:bottom w:val="single" w:color="auto" w:sz="4" w:space="0"/>
              <w:right w:val="single" w:color="auto" w:sz="4" w:space="0"/>
            </w:tcBorders>
            <w:vAlign w:val="center"/>
          </w:tcPr>
          <w:p w14:paraId="3CD3D1B3">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投标人承接相关的辅导服务项目，每提供一个合同业绩得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分。本项最高得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p w14:paraId="3533FD34">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注：须同时提供双方签订的合同、合同期内任意两张发票及评估结果通知，复印件加盖投标人公章。</w:t>
            </w:r>
          </w:p>
        </w:tc>
      </w:tr>
      <w:tr w14:paraId="53DE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C8C269E">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456" w:type="dxa"/>
            <w:tcBorders>
              <w:top w:val="single" w:color="auto" w:sz="4" w:space="0"/>
              <w:left w:val="single" w:color="auto" w:sz="4" w:space="0"/>
              <w:bottom w:val="single" w:color="auto" w:sz="4" w:space="0"/>
              <w:right w:val="single" w:color="auto" w:sz="4" w:space="0"/>
            </w:tcBorders>
            <w:vAlign w:val="center"/>
          </w:tcPr>
          <w:p w14:paraId="7DA1F719">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综合实力</w:t>
            </w:r>
          </w:p>
        </w:tc>
        <w:tc>
          <w:tcPr>
            <w:tcW w:w="757" w:type="dxa"/>
            <w:tcBorders>
              <w:top w:val="single" w:color="auto" w:sz="4" w:space="0"/>
              <w:left w:val="single" w:color="auto" w:sz="4" w:space="0"/>
              <w:bottom w:val="single" w:color="auto" w:sz="4" w:space="0"/>
              <w:right w:val="single" w:color="auto" w:sz="4" w:space="0"/>
            </w:tcBorders>
            <w:vAlign w:val="center"/>
          </w:tcPr>
          <w:p w14:paraId="78F93CAC">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619" w:type="dxa"/>
            <w:gridSpan w:val="2"/>
            <w:tcBorders>
              <w:top w:val="single" w:color="auto" w:sz="4" w:space="0"/>
              <w:left w:val="single" w:color="auto" w:sz="4" w:space="0"/>
              <w:bottom w:val="single" w:color="auto" w:sz="4" w:space="0"/>
              <w:right w:val="single" w:color="auto" w:sz="4" w:space="0"/>
            </w:tcBorders>
            <w:vAlign w:val="center"/>
          </w:tcPr>
          <w:p w14:paraId="570BE1F9">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投标人获得由市级或以上政府部门或其委托的第三方机构出具的年度社会工作发展综合评估等级：优秀等级的，得</w:t>
            </w:r>
            <w:r>
              <w:rPr>
                <w:rFonts w:hint="eastAsia" w:ascii="宋体" w:hAnsi="宋体" w:eastAsia="宋体" w:cs="宋体"/>
                <w:bCs/>
                <w:color w:val="auto"/>
                <w:sz w:val="21"/>
                <w:szCs w:val="21"/>
                <w:highlight w:val="none"/>
                <w:lang w:val="en-US" w:eastAsia="zh-CN"/>
              </w:rPr>
              <w:t>5分；良好等级的，得3分；合格等级的，得1分，其他情况不得分。历年评估结果可累计，最高得15分。</w:t>
            </w:r>
          </w:p>
          <w:p w14:paraId="563ECDB1">
            <w:pPr>
              <w:pStyle w:val="2"/>
              <w:rPr>
                <w:rFonts w:hint="default"/>
                <w:color w:val="auto"/>
                <w:highlight w:val="none"/>
                <w:lang w:val="en-US" w:eastAsia="zh-CN"/>
              </w:rPr>
            </w:pPr>
            <w:r>
              <w:rPr>
                <w:rFonts w:hint="eastAsia" w:hAnsi="宋体" w:cs="宋体"/>
                <w:bCs/>
                <w:color w:val="auto"/>
                <w:sz w:val="21"/>
                <w:szCs w:val="21"/>
                <w:highlight w:val="none"/>
                <w:lang w:val="en-US" w:eastAsia="zh-CN"/>
              </w:rPr>
              <w:t xml:space="preserve">    </w:t>
            </w:r>
            <w:r>
              <w:rPr>
                <w:rFonts w:hint="eastAsia" w:ascii="宋体" w:hAnsi="宋体" w:eastAsia="宋体" w:cs="宋体"/>
                <w:b w:val="0"/>
                <w:bCs/>
                <w:color w:val="auto"/>
                <w:kern w:val="0"/>
                <w:sz w:val="21"/>
                <w:szCs w:val="21"/>
                <w:highlight w:val="none"/>
                <w:lang w:val="en-US" w:eastAsia="zh-CN" w:bidi="ar-SA"/>
              </w:rPr>
              <w:t>注：须提供社会工作发展综合评估结果复印件并加盖投标人公章。</w:t>
            </w:r>
          </w:p>
        </w:tc>
      </w:tr>
      <w:tr w14:paraId="407E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79F8A2D">
            <w:pPr>
              <w:pStyle w:val="29"/>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14:paraId="39CA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2574B61F">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56" w:type="dxa"/>
            <w:tcBorders>
              <w:top w:val="single" w:color="auto" w:sz="4" w:space="0"/>
              <w:left w:val="single" w:color="auto" w:sz="4" w:space="0"/>
              <w:bottom w:val="single" w:color="auto" w:sz="4" w:space="0"/>
              <w:right w:val="single" w:color="auto" w:sz="4" w:space="0"/>
            </w:tcBorders>
            <w:vAlign w:val="center"/>
          </w:tcPr>
          <w:p w14:paraId="3D32186C">
            <w:pPr>
              <w:widowControl w:val="0"/>
              <w:adjustRightInd/>
              <w:snapToGrid/>
              <w:spacing w:after="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对项目的理解</w:t>
            </w:r>
          </w:p>
        </w:tc>
        <w:tc>
          <w:tcPr>
            <w:tcW w:w="757" w:type="dxa"/>
            <w:tcBorders>
              <w:top w:val="single" w:color="auto" w:sz="4" w:space="0"/>
              <w:left w:val="single" w:color="auto" w:sz="4" w:space="0"/>
              <w:bottom w:val="single" w:color="auto" w:sz="4" w:space="0"/>
              <w:right w:val="single" w:color="auto" w:sz="4" w:space="0"/>
            </w:tcBorders>
            <w:vAlign w:val="center"/>
          </w:tcPr>
          <w:p w14:paraId="33C2480D">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619" w:type="dxa"/>
            <w:gridSpan w:val="2"/>
            <w:tcBorders>
              <w:top w:val="single" w:color="auto" w:sz="4" w:space="0"/>
              <w:left w:val="single" w:color="auto" w:sz="4" w:space="0"/>
              <w:bottom w:val="single" w:color="auto" w:sz="4" w:space="0"/>
              <w:right w:val="single" w:color="auto" w:sz="4" w:space="0"/>
            </w:tcBorders>
            <w:vAlign w:val="top"/>
          </w:tcPr>
          <w:p w14:paraId="0336D516">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 xml:space="preserve">根据投标人对本项目的总体理解和把握（包括但不限于对项目工作目标、内容的理解等），与本项目实际情况的符合性进行综合评审: </w:t>
            </w:r>
          </w:p>
          <w:p w14:paraId="59046ECE">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投标人对本项目的总体理解和把握充分、合理，与本项目实际情况相符合的，得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 xml:space="preserve">分； </w:t>
            </w:r>
          </w:p>
          <w:p w14:paraId="30209CD9">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投标人对本项目的总体理解和把握较充分、合理，与本项目实际情况较符合的，得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 xml:space="preserve">分； </w:t>
            </w:r>
          </w:p>
          <w:p w14:paraId="2658AEF4">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投标人对本项目的总体理解和把握一般的，与本项目实际情况符合性一般的，得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 xml:space="preserve">分； </w:t>
            </w:r>
          </w:p>
          <w:p w14:paraId="046741B5">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 xml:space="preserve">投标人对本项目的总体理解和把握不深刻、不合理，与本项目实际情况不符合的，得1分； </w:t>
            </w:r>
          </w:p>
          <w:p w14:paraId="4CA53047">
            <w:pPr>
              <w:widowControl w:val="0"/>
              <w:adjustRightInd/>
              <w:snapToGrid/>
              <w:spacing w:before="72" w:beforeLines="20" w:after="72" w:afterLines="20"/>
              <w:ind w:firstLine="420" w:firstLineChars="200"/>
              <w:jc w:val="both"/>
              <w:rPr>
                <w:rFonts w:ascii="宋体" w:eastAsia="宋体" w:cs="宋体"/>
                <w:color w:val="auto"/>
                <w:sz w:val="21"/>
                <w:szCs w:val="21"/>
                <w:highlight w:val="none"/>
              </w:rPr>
            </w:pPr>
            <w:r>
              <w:rPr>
                <w:rFonts w:hint="eastAsia" w:ascii="宋体" w:hAnsi="宋体" w:eastAsia="宋体" w:cs="宋体"/>
                <w:bCs/>
                <w:color w:val="auto"/>
                <w:kern w:val="2"/>
                <w:sz w:val="21"/>
                <w:szCs w:val="21"/>
                <w:highlight w:val="none"/>
                <w:lang w:val="zh-CN"/>
              </w:rPr>
              <w:t>无提供相关说明，得0分。</w:t>
            </w:r>
          </w:p>
        </w:tc>
      </w:tr>
      <w:tr w14:paraId="5E2A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CD3C35B">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456" w:type="dxa"/>
            <w:tcBorders>
              <w:top w:val="single" w:color="auto" w:sz="4" w:space="0"/>
              <w:left w:val="single" w:color="auto" w:sz="4" w:space="0"/>
              <w:bottom w:val="single" w:color="auto" w:sz="4" w:space="0"/>
              <w:right w:val="single" w:color="auto" w:sz="4" w:space="0"/>
            </w:tcBorders>
            <w:vAlign w:val="center"/>
          </w:tcPr>
          <w:p w14:paraId="0B6DC86A">
            <w:pPr>
              <w:widowControl w:val="0"/>
              <w:adjustRightInd/>
              <w:snapToGrid/>
              <w:spacing w:after="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项目实施方案</w:t>
            </w:r>
          </w:p>
        </w:tc>
        <w:tc>
          <w:tcPr>
            <w:tcW w:w="757" w:type="dxa"/>
            <w:tcBorders>
              <w:top w:val="single" w:color="auto" w:sz="4" w:space="0"/>
              <w:left w:val="single" w:color="auto" w:sz="4" w:space="0"/>
              <w:bottom w:val="single" w:color="auto" w:sz="4" w:space="0"/>
              <w:right w:val="single" w:color="auto" w:sz="4" w:space="0"/>
            </w:tcBorders>
            <w:vAlign w:val="center"/>
          </w:tcPr>
          <w:p w14:paraId="167298F4">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619" w:type="dxa"/>
            <w:gridSpan w:val="2"/>
            <w:tcBorders>
              <w:top w:val="single" w:color="auto" w:sz="4" w:space="0"/>
              <w:left w:val="single" w:color="auto" w:sz="4" w:space="0"/>
              <w:bottom w:val="single" w:color="auto" w:sz="4" w:space="0"/>
              <w:right w:val="single" w:color="auto" w:sz="4" w:space="0"/>
            </w:tcBorders>
            <w:vAlign w:val="top"/>
          </w:tcPr>
          <w:p w14:paraId="78ED2E24">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对投标人的项目实施方案（包括但不限于项目实施措施、人员安排、内部管控制度等）进行综合评审：</w:t>
            </w:r>
          </w:p>
          <w:p w14:paraId="39242326">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提供的项目实施方案详细、科学合理、整体框架清晰，阐述内容主次分明，方案可操作性、可行性强的，得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 xml:space="preserve">分； </w:t>
            </w:r>
          </w:p>
          <w:p w14:paraId="1C2DF51F">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提供的项目实施方案较详细、合理，整体框架较清晰，阐述内容主次较为分明，方案具有一定的可操作性、可行性较强的，得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 xml:space="preserve">分； </w:t>
            </w:r>
          </w:p>
          <w:p w14:paraId="00D2D4A8">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提供的项目实施方案基本完善，具有一定的合理性、操作性及可行性，能够基本满足用户需求的，得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 xml:space="preserve">分； </w:t>
            </w:r>
          </w:p>
          <w:p w14:paraId="319DF7E5">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 xml:space="preserve">提供的项目实施方案不全面或操作性、可行性不高的，得1分； </w:t>
            </w:r>
          </w:p>
          <w:p w14:paraId="4A213724">
            <w:pPr>
              <w:widowControl w:val="0"/>
              <w:adjustRightInd/>
              <w:snapToGrid/>
              <w:spacing w:before="72" w:beforeLines="20" w:after="72" w:afterLines="20"/>
              <w:ind w:firstLine="420" w:firstLineChars="200"/>
              <w:jc w:val="both"/>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无提供相关方案，得0分。</w:t>
            </w:r>
          </w:p>
        </w:tc>
      </w:tr>
      <w:tr w14:paraId="0944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70E17D4">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456" w:type="dxa"/>
            <w:tcBorders>
              <w:top w:val="single" w:color="auto" w:sz="4" w:space="0"/>
              <w:left w:val="single" w:color="auto" w:sz="4" w:space="0"/>
              <w:bottom w:val="single" w:color="auto" w:sz="4" w:space="0"/>
              <w:right w:val="single" w:color="auto" w:sz="4" w:space="0"/>
            </w:tcBorders>
            <w:vAlign w:val="center"/>
          </w:tcPr>
          <w:p w14:paraId="6D219758">
            <w:pPr>
              <w:widowControl w:val="0"/>
              <w:adjustRightInd/>
              <w:snapToGrid/>
              <w:spacing w:after="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工作重点、难点及其解决措施</w:t>
            </w:r>
          </w:p>
        </w:tc>
        <w:tc>
          <w:tcPr>
            <w:tcW w:w="757" w:type="dxa"/>
            <w:tcBorders>
              <w:top w:val="single" w:color="auto" w:sz="4" w:space="0"/>
              <w:left w:val="single" w:color="auto" w:sz="4" w:space="0"/>
              <w:bottom w:val="single" w:color="auto" w:sz="4" w:space="0"/>
              <w:right w:val="single" w:color="auto" w:sz="4" w:space="0"/>
            </w:tcBorders>
            <w:vAlign w:val="center"/>
          </w:tcPr>
          <w:p w14:paraId="376C9A5B">
            <w:pPr>
              <w:widowControl w:val="0"/>
              <w:adjustRightInd/>
              <w:snapToGrid/>
              <w:spacing w:after="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10</w:t>
            </w:r>
          </w:p>
        </w:tc>
        <w:tc>
          <w:tcPr>
            <w:tcW w:w="5619" w:type="dxa"/>
            <w:gridSpan w:val="2"/>
            <w:tcBorders>
              <w:top w:val="single" w:color="auto" w:sz="4" w:space="0"/>
              <w:left w:val="single" w:color="auto" w:sz="4" w:space="0"/>
              <w:bottom w:val="single" w:color="auto" w:sz="4" w:space="0"/>
              <w:right w:val="single" w:color="auto" w:sz="4" w:space="0"/>
            </w:tcBorders>
            <w:vAlign w:val="top"/>
          </w:tcPr>
          <w:p w14:paraId="0E3F3822">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根据投标人就本项目重点、难点分析情况，及其解决措施的合理、可行性进行综合评审：</w:t>
            </w:r>
          </w:p>
          <w:p w14:paraId="0DA11457">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重点难点分析详细完整，解决方案合理可行、可操作性强的得10分；</w:t>
            </w:r>
          </w:p>
          <w:p w14:paraId="03CA757C">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重点难点分析较详细，解决方案较合理可行、可操作性较强的得6分；</w:t>
            </w:r>
          </w:p>
          <w:p w14:paraId="49170134">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重点难点分析、解决方案及可行性一般，可操作性一般的得3分；</w:t>
            </w:r>
          </w:p>
          <w:p w14:paraId="6772C909">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 xml:space="preserve">重点难点分析方案及决方案措施不完整可行性不高的得1分； </w:t>
            </w:r>
          </w:p>
          <w:p w14:paraId="7F020CE1">
            <w:pPr>
              <w:widowControl w:val="0"/>
              <w:adjustRightInd/>
              <w:snapToGrid/>
              <w:spacing w:before="72" w:beforeLines="20" w:after="72" w:afterLines="20"/>
              <w:ind w:firstLine="420" w:firstLineChars="200"/>
              <w:jc w:val="both"/>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无提供对应方案，得0分。</w:t>
            </w:r>
          </w:p>
        </w:tc>
      </w:tr>
      <w:tr w14:paraId="6985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AD867A0">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456" w:type="dxa"/>
            <w:tcBorders>
              <w:top w:val="single" w:color="auto" w:sz="4" w:space="0"/>
              <w:left w:val="single" w:color="auto" w:sz="4" w:space="0"/>
              <w:bottom w:val="single" w:color="auto" w:sz="4" w:space="0"/>
              <w:right w:val="single" w:color="auto" w:sz="4" w:space="0"/>
            </w:tcBorders>
            <w:vAlign w:val="center"/>
          </w:tcPr>
          <w:p w14:paraId="7779E9D0">
            <w:pPr>
              <w:widowControl w:val="0"/>
              <w:adjustRightInd/>
              <w:snapToGrid/>
              <w:spacing w:after="0"/>
              <w:jc w:val="center"/>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w:t>
            </w:r>
          </w:p>
        </w:tc>
        <w:tc>
          <w:tcPr>
            <w:tcW w:w="757" w:type="dxa"/>
            <w:tcBorders>
              <w:top w:val="single" w:color="auto" w:sz="4" w:space="0"/>
              <w:left w:val="single" w:color="auto" w:sz="4" w:space="0"/>
              <w:bottom w:val="single" w:color="auto" w:sz="4" w:space="0"/>
              <w:right w:val="single" w:color="auto" w:sz="4" w:space="0"/>
            </w:tcBorders>
            <w:vAlign w:val="center"/>
          </w:tcPr>
          <w:p w14:paraId="21096F7F">
            <w:pPr>
              <w:widowControl w:val="0"/>
              <w:adjustRightInd/>
              <w:snapToGrid/>
              <w:spacing w:after="0"/>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619" w:type="dxa"/>
            <w:gridSpan w:val="2"/>
            <w:tcBorders>
              <w:top w:val="single" w:color="auto" w:sz="4" w:space="0"/>
              <w:left w:val="single" w:color="auto" w:sz="4" w:space="0"/>
              <w:bottom w:val="single" w:color="auto" w:sz="4" w:space="0"/>
              <w:right w:val="single" w:color="auto" w:sz="4" w:space="0"/>
            </w:tcBorders>
            <w:vAlign w:val="top"/>
          </w:tcPr>
          <w:p w14:paraId="6683F482">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根据投标人的质量保证措施（包括但不限于服务质量，辅导服务的内容、形式等）进行评审：</w:t>
            </w:r>
          </w:p>
          <w:p w14:paraId="6E7503CA">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项目质量保证措施合理完善，条例清晰，操作性强，质量监测评估制度完善全面可行性高，得10分；</w:t>
            </w:r>
          </w:p>
          <w:p w14:paraId="17B0CA55">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项目质量保证措施较为合理完善，条例较为清晰，有一定的操作性，质量监测评估制度较为完善全面，有一定可行性得6分；</w:t>
            </w:r>
          </w:p>
          <w:p w14:paraId="44D6FF52">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项目质量保证措施不够全面，条例不太清晰或操作性较低，质量监测评估制度可行性一般，得3分；</w:t>
            </w:r>
          </w:p>
          <w:p w14:paraId="203AC521">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项目质量保证措施不全面，条例不清晰或操作性低，得1分；</w:t>
            </w:r>
          </w:p>
          <w:p w14:paraId="40EAEAB4">
            <w:pPr>
              <w:widowControl w:val="0"/>
              <w:adjustRightInd/>
              <w:snapToGrid/>
              <w:spacing w:before="72" w:beforeLines="20" w:after="72" w:afterLines="20"/>
              <w:ind w:firstLine="420" w:firstLineChars="200"/>
              <w:jc w:val="both"/>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无提供相关说明的，得0分。</w:t>
            </w:r>
          </w:p>
        </w:tc>
      </w:tr>
      <w:tr w14:paraId="0240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F16F241">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456" w:type="dxa"/>
            <w:tcBorders>
              <w:top w:val="single" w:color="auto" w:sz="4" w:space="0"/>
              <w:left w:val="single" w:color="auto" w:sz="4" w:space="0"/>
              <w:bottom w:val="single" w:color="auto" w:sz="4" w:space="0"/>
              <w:right w:val="single" w:color="auto" w:sz="4" w:space="0"/>
            </w:tcBorders>
            <w:vAlign w:val="center"/>
          </w:tcPr>
          <w:p w14:paraId="637C1E67">
            <w:pPr>
              <w:widowControl w:val="0"/>
              <w:adjustRightInd/>
              <w:snapToGrid/>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跟踪服务、监控评估等流程方案</w:t>
            </w:r>
          </w:p>
        </w:tc>
        <w:tc>
          <w:tcPr>
            <w:tcW w:w="757" w:type="dxa"/>
            <w:tcBorders>
              <w:top w:val="single" w:color="auto" w:sz="4" w:space="0"/>
              <w:left w:val="single" w:color="auto" w:sz="4" w:space="0"/>
              <w:bottom w:val="single" w:color="auto" w:sz="4" w:space="0"/>
              <w:right w:val="single" w:color="auto" w:sz="4" w:space="0"/>
            </w:tcBorders>
            <w:vAlign w:val="center"/>
          </w:tcPr>
          <w:p w14:paraId="47AED9FD">
            <w:pPr>
              <w:widowControl w:val="0"/>
              <w:adjustRightInd/>
              <w:snapToGrid/>
              <w:spacing w:after="0"/>
              <w:jc w:val="center"/>
              <w:rPr>
                <w:rFonts w:asci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rPr>
              <w:t>10</w:t>
            </w:r>
          </w:p>
        </w:tc>
        <w:tc>
          <w:tcPr>
            <w:tcW w:w="5619" w:type="dxa"/>
            <w:gridSpan w:val="2"/>
            <w:tcBorders>
              <w:top w:val="single" w:color="auto" w:sz="4" w:space="0"/>
              <w:left w:val="single" w:color="auto" w:sz="4" w:space="0"/>
              <w:bottom w:val="single" w:color="auto" w:sz="4" w:space="0"/>
              <w:right w:val="single" w:color="auto" w:sz="4" w:space="0"/>
            </w:tcBorders>
            <w:vAlign w:val="center"/>
          </w:tcPr>
          <w:p w14:paraId="38A32978">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根据各投标人提供的相关跟踪服务、监控评估等流程规范程度进行综合评审：</w:t>
            </w:r>
          </w:p>
          <w:p w14:paraId="72B14C6E">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项目跟踪服务流程清晰合理，监控评估方案完善，可操作性强，得10分；</w:t>
            </w:r>
          </w:p>
          <w:p w14:paraId="54F8B79D">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项目跟踪服务流程较合理，监控评估方案较完善，可操作性较强，得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 xml:space="preserve">分； </w:t>
            </w:r>
          </w:p>
          <w:p w14:paraId="4503C808">
            <w:pPr>
              <w:widowControl w:val="0"/>
              <w:adjustRightInd/>
              <w:snapToGrid/>
              <w:spacing w:before="72" w:beforeLines="20" w:after="72" w:afterLines="20"/>
              <w:ind w:firstLine="420" w:firstLineChars="200"/>
              <w:jc w:val="both"/>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项目跟踪服务流程基本合理，监控评估方案基本完善，可操作性一般，得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 xml:space="preserve">分； </w:t>
            </w:r>
          </w:p>
          <w:p w14:paraId="6E59B444">
            <w:pPr>
              <w:widowControl w:val="0"/>
              <w:adjustRightInd/>
              <w:snapToGrid/>
              <w:spacing w:before="72" w:beforeLines="20" w:after="72" w:afterLines="20"/>
              <w:ind w:firstLine="420" w:firstLineChars="200"/>
              <w:jc w:val="both"/>
              <w:rPr>
                <w:rFonts w:asci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项目跟踪服务流程模糊不合理，监控评估方案不完善，可操作性不强，得1分。 无提供相关说明的，得0分。</w:t>
            </w:r>
          </w:p>
        </w:tc>
      </w:tr>
      <w:tr w14:paraId="5C0E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2FFF7AC5">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64D2BB97">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42EFB2B0">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2B11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FB974F6">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299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F810175">
            <w:pPr>
              <w:pStyle w:val="2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56" w:type="dxa"/>
            <w:tcBorders>
              <w:top w:val="single" w:color="auto" w:sz="4" w:space="0"/>
              <w:left w:val="single" w:color="auto" w:sz="4" w:space="0"/>
              <w:bottom w:val="single" w:color="auto" w:sz="4" w:space="0"/>
              <w:right w:val="single" w:color="auto" w:sz="4" w:space="0"/>
            </w:tcBorders>
            <w:vAlign w:val="center"/>
          </w:tcPr>
          <w:p w14:paraId="0AC6FB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888" w:type="dxa"/>
            <w:gridSpan w:val="2"/>
            <w:tcBorders>
              <w:top w:val="single" w:color="auto" w:sz="4" w:space="0"/>
              <w:left w:val="single" w:color="auto" w:sz="4" w:space="0"/>
              <w:bottom w:val="single" w:color="auto" w:sz="4" w:space="0"/>
              <w:right w:val="single" w:color="auto" w:sz="4" w:space="0"/>
            </w:tcBorders>
            <w:vAlign w:val="center"/>
          </w:tcPr>
          <w:p w14:paraId="29B427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488" w:type="dxa"/>
            <w:tcBorders>
              <w:top w:val="single" w:color="auto" w:sz="4" w:space="0"/>
              <w:left w:val="single" w:color="auto" w:sz="4" w:space="0"/>
              <w:bottom w:val="single" w:color="auto" w:sz="4" w:space="0"/>
              <w:right w:val="single" w:color="auto" w:sz="4" w:space="0"/>
            </w:tcBorders>
            <w:vAlign w:val="center"/>
          </w:tcPr>
          <w:p w14:paraId="697D2A4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14:paraId="08FFF78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14:paraId="706C996A">
      <w:pPr>
        <w:pStyle w:val="3"/>
        <w:pageBreakBefore w:val="0"/>
        <w:kinsoku/>
        <w:topLinePunct w:val="0"/>
        <w:autoSpaceDE/>
        <w:autoSpaceDN/>
        <w:bidi w:val="0"/>
        <w:spacing w:before="0" w:after="0" w:line="360" w:lineRule="auto"/>
        <w:rPr>
          <w:color w:val="auto"/>
          <w:sz w:val="36"/>
          <w:szCs w:val="36"/>
          <w:highlight w:val="none"/>
        </w:rPr>
      </w:pPr>
      <w:r>
        <w:rPr>
          <w:rFonts w:hint="eastAsia"/>
          <w:color w:val="auto"/>
          <w:sz w:val="28"/>
          <w:szCs w:val="28"/>
          <w:highlight w:val="none"/>
        </w:rPr>
        <w:br w:type="page"/>
      </w:r>
      <w:bookmarkStart w:id="5" w:name="_Toc21802"/>
      <w:r>
        <w:rPr>
          <w:rFonts w:hint="eastAsia"/>
          <w:color w:val="auto"/>
          <w:sz w:val="28"/>
          <w:szCs w:val="28"/>
          <w:highlight w:val="none"/>
        </w:rPr>
        <w:t>第三部分 用户需求书</w:t>
      </w:r>
      <w:bookmarkEnd w:id="5"/>
    </w:p>
    <w:p w14:paraId="75BCC726">
      <w:pPr>
        <w:pageBreakBefore w:val="0"/>
        <w:kinsoku/>
        <w:topLinePunct w:val="0"/>
        <w:autoSpaceDE/>
        <w:autoSpaceDN/>
        <w:bidi w:val="0"/>
        <w:spacing w:after="0" w:line="360" w:lineRule="auto"/>
        <w:jc w:val="both"/>
        <w:rPr>
          <w:rFonts w:ascii="宋体" w:hAnsi="宋体" w:eastAsia="宋体"/>
          <w:b/>
          <w:color w:val="auto"/>
          <w:sz w:val="24"/>
          <w:highlight w:val="none"/>
        </w:rPr>
      </w:pPr>
    </w:p>
    <w:p w14:paraId="71EA4D2A">
      <w:pPr>
        <w:pStyle w:val="26"/>
        <w:keepNext w:val="0"/>
        <w:keepLines w:val="0"/>
        <w:pageBreakBefore w:val="0"/>
        <w:widowControl/>
        <w:numPr>
          <w:ilvl w:val="0"/>
          <w:numId w:val="0"/>
        </w:numPr>
        <w:kinsoku/>
        <w:wordWrap/>
        <w:overflowPunct/>
        <w:topLinePunct w:val="0"/>
        <w:autoSpaceDE/>
        <w:autoSpaceDN/>
        <w:bidi w:val="0"/>
        <w:spacing w:after="0" w:line="360" w:lineRule="auto"/>
        <w:ind w:leftChars="0"/>
        <w:jc w:val="center"/>
        <w:textAlignment w:val="auto"/>
        <w:rPr>
          <w:rFonts w:hint="default" w:ascii="宋体" w:hAnsi="宋体"/>
          <w:b/>
          <w:color w:val="auto"/>
          <w:sz w:val="20"/>
          <w:highlight w:val="none"/>
          <w:lang w:val="en-US"/>
        </w:rPr>
      </w:pPr>
      <w:r>
        <w:rPr>
          <w:rFonts w:hint="eastAsia" w:ascii="宋体" w:hAnsi="宋体" w:eastAsia="宋体"/>
          <w:b/>
          <w:color w:val="auto"/>
          <w:sz w:val="28"/>
          <w:szCs w:val="24"/>
          <w:highlight w:val="none"/>
          <w:lang w:eastAsia="zh-CN"/>
        </w:rPr>
        <w:t>商务需求书</w:t>
      </w:r>
    </w:p>
    <w:tbl>
      <w:tblPr>
        <w:tblStyle w:val="18"/>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369"/>
        <w:gridCol w:w="6730"/>
      </w:tblGrid>
      <w:tr w14:paraId="12430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2" w:type="pct"/>
            <w:vAlign w:val="center"/>
          </w:tcPr>
          <w:p w14:paraId="2322732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14:paraId="3203E3E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45" w:type="pct"/>
            <w:vAlign w:val="center"/>
          </w:tcPr>
          <w:p w14:paraId="2BFF6C0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14:paraId="7667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14:paraId="7E91167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14:paraId="16E14F5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服务期</w:t>
            </w:r>
          </w:p>
        </w:tc>
        <w:tc>
          <w:tcPr>
            <w:tcW w:w="3845" w:type="pct"/>
            <w:vAlign w:val="center"/>
          </w:tcPr>
          <w:p w14:paraId="7F72BA03">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2025年10月25日至2026年10月24日，为期1年</w:t>
            </w:r>
            <w:r>
              <w:rPr>
                <w:rFonts w:hint="eastAsia" w:ascii="宋体" w:hAnsi="宋体" w:eastAsia="宋体"/>
                <w:color w:val="auto"/>
                <w:szCs w:val="21"/>
                <w:highlight w:val="none"/>
                <w:lang w:eastAsia="zh-CN"/>
              </w:rPr>
              <w:t>（具体合同起始时间以实际为准）</w:t>
            </w:r>
            <w:r>
              <w:rPr>
                <w:rFonts w:hint="eastAsia" w:ascii="宋体" w:hAnsi="宋体" w:eastAsia="宋体"/>
                <w:color w:val="auto"/>
                <w:szCs w:val="21"/>
                <w:highlight w:val="none"/>
              </w:rPr>
              <w:t>。</w:t>
            </w:r>
          </w:p>
        </w:tc>
      </w:tr>
      <w:tr w14:paraId="47518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14:paraId="625F275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782" w:type="pct"/>
            <w:vAlign w:val="center"/>
          </w:tcPr>
          <w:p w14:paraId="3D4AA51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theme="minorBidi"/>
                <w:color w:val="auto"/>
                <w:sz w:val="22"/>
                <w:szCs w:val="21"/>
                <w:highlight w:val="none"/>
                <w:lang w:val="en-US" w:eastAsia="zh-CN" w:bidi="ar-SA"/>
              </w:rPr>
              <w:t>服务费用及付款方式</w:t>
            </w:r>
          </w:p>
        </w:tc>
        <w:tc>
          <w:tcPr>
            <w:tcW w:w="3845" w:type="pct"/>
            <w:vAlign w:val="center"/>
          </w:tcPr>
          <w:p w14:paraId="15D0BD6D">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（1）</w:t>
            </w:r>
            <w:r>
              <w:rPr>
                <w:rFonts w:hint="eastAsia" w:ascii="宋体" w:hAnsi="宋体" w:eastAsia="宋体"/>
                <w:color w:val="auto"/>
                <w:szCs w:val="21"/>
                <w:highlight w:val="none"/>
                <w:lang w:val="en-US" w:eastAsia="zh-CN"/>
              </w:rPr>
              <w:t>待2026年财政预算下达经费后</w:t>
            </w:r>
            <w:r>
              <w:rPr>
                <w:rFonts w:hint="default" w:ascii="宋体" w:hAnsi="宋体" w:eastAsia="宋体"/>
                <w:color w:val="auto"/>
                <w:szCs w:val="21"/>
                <w:highlight w:val="none"/>
              </w:rPr>
              <w:t>，采购人向</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支付项目30%合同经费。</w:t>
            </w:r>
          </w:p>
          <w:p w14:paraId="3115553F">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（2）项目运营满6个月</w:t>
            </w:r>
            <w:r>
              <w:rPr>
                <w:rFonts w:hint="eastAsia" w:ascii="宋体" w:hAnsi="宋体" w:eastAsia="宋体"/>
                <w:color w:val="auto"/>
                <w:szCs w:val="21"/>
                <w:highlight w:val="none"/>
                <w:lang w:eastAsia="zh-CN"/>
              </w:rPr>
              <w:t>并</w:t>
            </w:r>
            <w:r>
              <w:rPr>
                <w:rFonts w:hint="default" w:ascii="宋体" w:hAnsi="宋体" w:eastAsia="宋体"/>
                <w:color w:val="auto"/>
                <w:szCs w:val="21"/>
                <w:highlight w:val="none"/>
              </w:rPr>
              <w:t>经采购人验收合格后，采购人向</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支付项目30%合同经费。</w:t>
            </w:r>
          </w:p>
          <w:p w14:paraId="499B9F21">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（3）完成合同约定工作</w:t>
            </w:r>
            <w:r>
              <w:rPr>
                <w:rFonts w:hint="eastAsia" w:ascii="宋体" w:hAnsi="宋体" w:eastAsia="宋体"/>
                <w:color w:val="auto"/>
                <w:sz w:val="21"/>
                <w:szCs w:val="21"/>
                <w:highlight w:val="none"/>
                <w:lang w:eastAsia="zh-CN"/>
              </w:rPr>
              <w:t>并</w:t>
            </w:r>
            <w:r>
              <w:rPr>
                <w:rFonts w:hint="default" w:ascii="宋体" w:hAnsi="宋体" w:eastAsia="宋体"/>
                <w:color w:val="auto"/>
                <w:szCs w:val="21"/>
                <w:highlight w:val="none"/>
                <w:lang w:eastAsia="zh-CN"/>
              </w:rPr>
              <w:t>经采购人验收合格</w:t>
            </w:r>
            <w:r>
              <w:rPr>
                <w:rFonts w:hint="default" w:ascii="宋体" w:hAnsi="宋体" w:eastAsia="宋体"/>
                <w:color w:val="auto"/>
                <w:szCs w:val="21"/>
                <w:highlight w:val="none"/>
              </w:rPr>
              <w:t>后，采购人向</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支付项目30%合同经费。</w:t>
            </w:r>
          </w:p>
          <w:p w14:paraId="4E949B23">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olor w:val="auto"/>
                <w:szCs w:val="21"/>
                <w:highlight w:val="none"/>
                <w:lang w:val="en-US" w:eastAsia="zh-CN"/>
              </w:rPr>
            </w:pPr>
            <w:r>
              <w:rPr>
                <w:rFonts w:hint="default" w:ascii="宋体" w:hAnsi="宋体" w:eastAsia="宋体"/>
                <w:color w:val="auto"/>
                <w:szCs w:val="21"/>
                <w:highlight w:val="none"/>
              </w:rPr>
              <w:t>（4）剩余10%合同经费根据项目考核评估结果拨付，评估结果为合格或以上的，余下10%合同经费全额支付；评估结果为不合格的，扣减余下10%合同经费。</w:t>
            </w:r>
          </w:p>
        </w:tc>
      </w:tr>
      <w:tr w14:paraId="07767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14:paraId="1BEC4D7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3</w:t>
            </w:r>
          </w:p>
        </w:tc>
        <w:tc>
          <w:tcPr>
            <w:tcW w:w="782" w:type="pct"/>
            <w:vAlign w:val="center"/>
          </w:tcPr>
          <w:p w14:paraId="25B48A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项目地点</w:t>
            </w:r>
          </w:p>
        </w:tc>
        <w:tc>
          <w:tcPr>
            <w:tcW w:w="3845" w:type="pct"/>
            <w:vAlign w:val="center"/>
          </w:tcPr>
          <w:p w14:paraId="586C32A2">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东莞市婚姻登记管理中心</w:t>
            </w:r>
          </w:p>
        </w:tc>
      </w:tr>
      <w:tr w14:paraId="2AF06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372" w:type="pct"/>
            <w:vAlign w:val="center"/>
          </w:tcPr>
          <w:p w14:paraId="656F2ED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4</w:t>
            </w:r>
          </w:p>
        </w:tc>
        <w:tc>
          <w:tcPr>
            <w:tcW w:w="782" w:type="pct"/>
            <w:vAlign w:val="center"/>
          </w:tcPr>
          <w:p w14:paraId="16A5190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及费用要求</w:t>
            </w:r>
          </w:p>
        </w:tc>
        <w:tc>
          <w:tcPr>
            <w:tcW w:w="3845" w:type="pct"/>
            <w:vAlign w:val="center"/>
          </w:tcPr>
          <w:p w14:paraId="3792ADE1">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lang w:eastAsia="zh-CN"/>
              </w:rPr>
              <w:t>一</w:t>
            </w:r>
            <w:r>
              <w:rPr>
                <w:rFonts w:hint="default" w:ascii="宋体" w:hAnsi="宋体" w:eastAsia="宋体"/>
                <w:color w:val="auto"/>
                <w:szCs w:val="21"/>
                <w:highlight w:val="none"/>
              </w:rPr>
              <w:t>）</w:t>
            </w:r>
            <w:r>
              <w:rPr>
                <w:rFonts w:hint="eastAsia" w:ascii="宋体" w:hAnsi="宋体" w:eastAsia="宋体"/>
                <w:color w:val="auto"/>
                <w:szCs w:val="21"/>
                <w:highlight w:val="none"/>
              </w:rPr>
              <w:t>投标报价采取打包报价的方式，项目总经费为</w:t>
            </w:r>
            <w:r>
              <w:rPr>
                <w:rFonts w:hint="eastAsia" w:ascii="宋体" w:hAnsi="宋体" w:eastAsia="宋体"/>
                <w:color w:val="auto"/>
                <w:szCs w:val="21"/>
                <w:highlight w:val="none"/>
                <w:lang w:val="en-US" w:eastAsia="zh-CN"/>
              </w:rPr>
              <w:t>59.638</w:t>
            </w:r>
            <w:r>
              <w:rPr>
                <w:rFonts w:hint="eastAsia" w:ascii="宋体" w:hAnsi="宋体" w:eastAsia="宋体"/>
                <w:color w:val="auto"/>
                <w:szCs w:val="21"/>
                <w:highlight w:val="none"/>
              </w:rPr>
              <w:t>万元，用于人员工资及福利费用、社保费用、管理费、开展活动用的物资成本费用、培训费用、各种税费及合同实施过程中的不可预见费用等全部费用。</w:t>
            </w:r>
          </w:p>
          <w:p w14:paraId="4A160E94">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lang w:val="en-US" w:eastAsia="zh-CN"/>
              </w:rPr>
              <w:t>二</w:t>
            </w:r>
            <w:r>
              <w:rPr>
                <w:rFonts w:hint="default" w:ascii="宋体" w:hAnsi="宋体" w:eastAsia="宋体"/>
                <w:color w:val="auto"/>
                <w:szCs w:val="21"/>
                <w:highlight w:val="none"/>
              </w:rPr>
              <w:t>）采购方根据合同约定，向</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支付项目经费，</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要严格按照《东莞市民政局 东莞市财政局关于印发〈政府购买社会工作服务资金使用管理办法〉的通知》（东民规〔2021〕2号）要求使用项目经费。合同期结束后，服务活动成本有结余的，需将结余部分</w:t>
            </w:r>
            <w:r>
              <w:rPr>
                <w:rFonts w:hint="eastAsia" w:ascii="宋体" w:hAnsi="宋体" w:eastAsia="宋体"/>
                <w:color w:val="auto"/>
                <w:szCs w:val="21"/>
                <w:highlight w:val="none"/>
                <w:lang w:eastAsia="zh-CN"/>
              </w:rPr>
              <w:t>于合同结束后五个工作日内</w:t>
            </w:r>
            <w:r>
              <w:rPr>
                <w:rFonts w:hint="default" w:ascii="宋体" w:hAnsi="宋体" w:eastAsia="宋体"/>
                <w:color w:val="auto"/>
                <w:szCs w:val="21"/>
                <w:highlight w:val="none"/>
              </w:rPr>
              <w:t>退回</w:t>
            </w:r>
            <w:r>
              <w:rPr>
                <w:rFonts w:hint="eastAsia" w:ascii="宋体" w:hAnsi="宋体" w:eastAsia="宋体"/>
                <w:color w:val="auto"/>
                <w:szCs w:val="21"/>
                <w:highlight w:val="none"/>
                <w:lang w:eastAsia="zh-CN"/>
              </w:rPr>
              <w:t>甲方</w:t>
            </w:r>
            <w:r>
              <w:rPr>
                <w:rFonts w:hint="default" w:ascii="宋体" w:hAnsi="宋体" w:eastAsia="宋体"/>
                <w:color w:val="auto"/>
                <w:szCs w:val="21"/>
                <w:highlight w:val="none"/>
              </w:rPr>
              <w:t>。</w:t>
            </w:r>
          </w:p>
          <w:p w14:paraId="0D0A6A6B">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lang w:eastAsia="zh-CN"/>
              </w:rPr>
              <w:t>三</w:t>
            </w:r>
            <w:r>
              <w:rPr>
                <w:rFonts w:hint="default" w:ascii="宋体" w:hAnsi="宋体" w:eastAsia="宋体"/>
                <w:color w:val="auto"/>
                <w:szCs w:val="21"/>
                <w:highlight w:val="none"/>
              </w:rPr>
              <w:t>）如项目期内，</w:t>
            </w:r>
            <w:r>
              <w:rPr>
                <w:rFonts w:hint="default" w:ascii="宋体" w:hAnsi="宋体" w:eastAsia="宋体"/>
                <w:color w:val="auto"/>
                <w:szCs w:val="21"/>
                <w:highlight w:val="none"/>
                <w:lang w:eastAsia="zh-CN"/>
              </w:rPr>
              <w:t>中标人</w:t>
            </w:r>
            <w:r>
              <w:rPr>
                <w:rFonts w:hint="default" w:ascii="宋体" w:hAnsi="宋体" w:eastAsia="宋体"/>
                <w:color w:val="auto"/>
                <w:szCs w:val="21"/>
                <w:highlight w:val="none"/>
              </w:rPr>
              <w:t>安排的项目人员存在缺岗情况，且缺岗时间超过15天以上（按自然日计算）仍未安排</w:t>
            </w:r>
            <w:r>
              <w:rPr>
                <w:rFonts w:hint="eastAsia" w:ascii="宋体" w:hAnsi="宋体" w:eastAsia="宋体"/>
                <w:color w:val="auto"/>
                <w:szCs w:val="21"/>
                <w:highlight w:val="none"/>
                <w:lang w:eastAsia="zh-CN"/>
              </w:rPr>
              <w:t>同等条件</w:t>
            </w:r>
            <w:r>
              <w:rPr>
                <w:rFonts w:hint="default" w:ascii="宋体" w:hAnsi="宋体" w:eastAsia="宋体"/>
                <w:color w:val="auto"/>
                <w:szCs w:val="21"/>
                <w:highlight w:val="none"/>
              </w:rPr>
              <w:t xml:space="preserve">人员上岗的，由采购人根据缺岗天数扣减项目经费，具体如下: </w:t>
            </w:r>
          </w:p>
          <w:p w14:paraId="1885B9E7">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 xml:space="preserve">1.单个项目人员缺岗15天以上30天（含）以下的，按照每名项目人员人力成本的4%标准扣减； </w:t>
            </w:r>
          </w:p>
          <w:p w14:paraId="46756119">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2.单个项目人员缺岗30天以上45天（含）以下，按照每名项目人员人力成本的8%标准扣减；</w:t>
            </w:r>
          </w:p>
          <w:p w14:paraId="56F140C0">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 xml:space="preserve">3.单个项目人员缺岗45天以上60天（含）以下的，按照每名项目人员人力成本的12%标准扣减。 </w:t>
            </w:r>
          </w:p>
          <w:p w14:paraId="06B19211">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4.单个项目人员缺岗60天以上90天（含）以下的，按照每名项目人员人力成本的30%标准扣减。</w:t>
            </w:r>
          </w:p>
          <w:p w14:paraId="75679010">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default" w:ascii="宋体" w:hAnsi="宋体" w:eastAsia="宋体"/>
                <w:color w:val="auto"/>
                <w:szCs w:val="21"/>
                <w:highlight w:val="none"/>
              </w:rPr>
            </w:pPr>
            <w:r>
              <w:rPr>
                <w:rFonts w:hint="default" w:ascii="宋体" w:hAnsi="宋体" w:eastAsia="宋体"/>
                <w:color w:val="auto"/>
                <w:szCs w:val="21"/>
                <w:highlight w:val="none"/>
              </w:rPr>
              <w:t xml:space="preserve">5.单个项目人员缺岗90天以上的，按照每名项目人员人力成本的100%标准扣减。 </w:t>
            </w:r>
          </w:p>
          <w:p w14:paraId="50DB92C0">
            <w:pPr>
              <w:pStyle w:val="2"/>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r>
              <w:rPr>
                <w:rFonts w:hint="default" w:ascii="宋体" w:hAnsi="宋体" w:eastAsia="宋体"/>
                <w:color w:val="auto"/>
                <w:szCs w:val="21"/>
                <w:highlight w:val="none"/>
              </w:rPr>
              <w:t>（项目社工人力成本按照9.9万元标准计算</w:t>
            </w:r>
            <w:r>
              <w:rPr>
                <w:rFonts w:hint="default" w:ascii="宋体" w:hAnsi="宋体" w:eastAsia="宋体"/>
                <w:color w:val="auto"/>
                <w:szCs w:val="21"/>
                <w:highlight w:val="none"/>
                <w:lang w:eastAsia="zh-CN"/>
              </w:rPr>
              <w:t>，</w:t>
            </w:r>
            <w:r>
              <w:rPr>
                <w:rFonts w:hint="default" w:ascii="宋体" w:hAnsi="宋体" w:eastAsia="宋体"/>
                <w:color w:val="auto"/>
                <w:szCs w:val="21"/>
                <w:highlight w:val="none"/>
              </w:rPr>
              <w:t>如：项目有两名社工缺岗达20天，按照每名项目人员人力成本的4%标准扣减，则共需扣减9.9万元*4%*2</w:t>
            </w:r>
            <w:r>
              <w:rPr>
                <w:rFonts w:hint="eastAsia" w:hAnsi="宋体"/>
                <w:color w:val="auto"/>
                <w:szCs w:val="21"/>
                <w:highlight w:val="none"/>
                <w:lang w:eastAsia="zh-CN"/>
              </w:rPr>
              <w:t>，此次类推</w:t>
            </w:r>
            <w:r>
              <w:rPr>
                <w:rFonts w:hint="default" w:ascii="宋体" w:hAnsi="宋体" w:eastAsia="宋体"/>
                <w:color w:val="auto"/>
                <w:szCs w:val="21"/>
                <w:highlight w:val="none"/>
              </w:rPr>
              <w:t>） 。扣减部分先从未拨付经费中抵扣，未拨付经费不足以支付扣减部分的，由</w:t>
            </w:r>
            <w:r>
              <w:rPr>
                <w:rFonts w:hint="default" w:ascii="宋体" w:hAnsi="宋体" w:eastAsia="宋体"/>
                <w:color w:val="auto"/>
                <w:szCs w:val="21"/>
                <w:highlight w:val="none"/>
                <w:lang w:eastAsia="zh-CN"/>
              </w:rPr>
              <w:t>中标人</w:t>
            </w:r>
            <w:r>
              <w:rPr>
                <w:rFonts w:hint="eastAsia" w:hAnsi="宋体"/>
                <w:color w:val="auto"/>
                <w:szCs w:val="21"/>
                <w:highlight w:val="none"/>
                <w:lang w:eastAsia="zh-CN"/>
              </w:rPr>
              <w:t>知悉之日起五日内</w:t>
            </w:r>
            <w:r>
              <w:rPr>
                <w:rFonts w:hint="default" w:ascii="宋体" w:hAnsi="宋体" w:eastAsia="宋体"/>
                <w:color w:val="auto"/>
                <w:szCs w:val="21"/>
                <w:highlight w:val="none"/>
              </w:rPr>
              <w:t>退还至采购人指定账户。</w:t>
            </w:r>
          </w:p>
        </w:tc>
      </w:tr>
      <w:tr w14:paraId="21211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2" w:type="pct"/>
            <w:vAlign w:val="center"/>
          </w:tcPr>
          <w:p w14:paraId="4EB1489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5</w:t>
            </w:r>
          </w:p>
        </w:tc>
        <w:tc>
          <w:tcPr>
            <w:tcW w:w="782" w:type="pct"/>
            <w:vAlign w:val="center"/>
          </w:tcPr>
          <w:p w14:paraId="209785B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45" w:type="pct"/>
            <w:vAlign w:val="center"/>
          </w:tcPr>
          <w:p w14:paraId="25056F97">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14:paraId="03010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372" w:type="pct"/>
            <w:vAlign w:val="center"/>
          </w:tcPr>
          <w:p w14:paraId="62395B8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6</w:t>
            </w:r>
          </w:p>
        </w:tc>
        <w:tc>
          <w:tcPr>
            <w:tcW w:w="782" w:type="pct"/>
            <w:vAlign w:val="center"/>
          </w:tcPr>
          <w:p w14:paraId="283D5C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3845" w:type="pct"/>
            <w:vAlign w:val="center"/>
          </w:tcPr>
          <w:p w14:paraId="3EE5C9C9">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参与本项目的投标人应是依法在民政部门登记或经国务院批准免予登记，拥有一支能够熟练掌握和灵活运用社会工作知识、方法和技能的专业队伍，具备完善的内部治理结构、健全的规章制度、良好的社会公信力以及较强的公益项目运营管理和社会工作专业服务能力的社会组织。具备相应条件和能力的公益二类和从事生产经营活动的事业单位，以及依法成立的企业等社会力量也可投标。</w:t>
            </w:r>
          </w:p>
          <w:p w14:paraId="34843063">
            <w:pPr>
              <w:keepNext w:val="0"/>
              <w:keepLines w:val="0"/>
              <w:pageBreakBefore w:val="0"/>
              <w:widowControl/>
              <w:kinsoku/>
              <w:wordWrap/>
              <w:overflowPunct/>
              <w:topLinePunct w:val="0"/>
              <w:autoSpaceDE/>
              <w:autoSpaceDN/>
              <w:bidi w:val="0"/>
              <w:adjustRightInd/>
              <w:snapToGrid/>
              <w:spacing w:after="0" w:line="360" w:lineRule="auto"/>
              <w:ind w:firstLine="440" w:firstLineChars="200"/>
              <w:jc w:val="both"/>
              <w:textAlignment w:val="auto"/>
              <w:rPr>
                <w:rFonts w:ascii="宋体" w:hAnsi="宋体" w:eastAsia="宋体"/>
                <w:b/>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14:paraId="518F0803">
      <w:pPr>
        <w:pageBreakBefore w:val="0"/>
        <w:kinsoku/>
        <w:topLinePunct w:val="0"/>
        <w:autoSpaceDE/>
        <w:autoSpaceDN/>
        <w:bidi w:val="0"/>
        <w:spacing w:line="360" w:lineRule="auto"/>
        <w:rPr>
          <w:rFonts w:hint="eastAsia" w:ascii="宋体" w:hAnsi="宋体" w:eastAsia="宋体" w:cstheme="minorBidi"/>
          <w:b/>
          <w:color w:val="auto"/>
          <w:sz w:val="24"/>
          <w:szCs w:val="22"/>
          <w:highlight w:val="none"/>
          <w:lang w:val="en-US" w:eastAsia="zh-CN" w:bidi="ar-SA"/>
        </w:rPr>
      </w:pPr>
      <w:r>
        <w:rPr>
          <w:rFonts w:hint="eastAsia" w:ascii="宋体" w:hAnsi="宋体" w:eastAsia="宋体" w:cstheme="minorBidi"/>
          <w:b/>
          <w:color w:val="auto"/>
          <w:sz w:val="24"/>
          <w:szCs w:val="22"/>
          <w:highlight w:val="none"/>
          <w:lang w:val="en-US" w:eastAsia="zh-CN" w:bidi="ar-SA"/>
        </w:rPr>
        <w:br w:type="page"/>
      </w:r>
    </w:p>
    <w:p w14:paraId="58C597C6">
      <w:pPr>
        <w:pageBreakBefore w:val="0"/>
        <w:kinsoku/>
        <w:topLinePunct w:val="0"/>
        <w:autoSpaceDE/>
        <w:autoSpaceDN/>
        <w:bidi w:val="0"/>
        <w:spacing w:line="360" w:lineRule="auto"/>
        <w:jc w:val="center"/>
        <w:rPr>
          <w:rFonts w:hint="eastAsia" w:ascii="宋体" w:hAnsi="宋体" w:eastAsia="微软雅黑"/>
          <w:color w:val="auto"/>
          <w:sz w:val="21"/>
          <w:szCs w:val="21"/>
          <w:highlight w:val="none"/>
          <w:lang w:eastAsia="zh-CN"/>
        </w:rPr>
      </w:pPr>
      <w:r>
        <w:rPr>
          <w:rFonts w:hint="eastAsia" w:ascii="宋体" w:hAnsi="宋体" w:eastAsia="宋体" w:cstheme="minorBidi"/>
          <w:b/>
          <w:color w:val="auto"/>
          <w:sz w:val="28"/>
          <w:szCs w:val="24"/>
          <w:highlight w:val="none"/>
          <w:lang w:val="en-US" w:eastAsia="zh-CN" w:bidi="ar-SA"/>
        </w:rPr>
        <w:t>技术需求书</w:t>
      </w:r>
    </w:p>
    <w:p w14:paraId="070CF582">
      <w:pPr>
        <w:pStyle w:val="48"/>
        <w:keepNext w:val="0"/>
        <w:keepLines w:val="0"/>
        <w:pageBreakBefore w:val="0"/>
        <w:kinsoku/>
        <w:wordWrap/>
        <w:overflowPunct/>
        <w:topLinePunct w:val="0"/>
        <w:autoSpaceDE/>
        <w:autoSpaceDN/>
        <w:bidi w:val="0"/>
        <w:spacing w:after="0" w:line="360" w:lineRule="auto"/>
        <w:ind w:left="0"/>
        <w:textAlignment w:val="auto"/>
        <w:rPr>
          <w:rFonts w:hint="eastAsia" w:ascii="宋体" w:hAnsi="宋体" w:eastAsia="宋体" w:cs="宋体"/>
          <w:color w:val="auto"/>
          <w:sz w:val="21"/>
          <w:szCs w:val="21"/>
          <w:highlight w:val="none"/>
        </w:rPr>
      </w:pPr>
      <w:bookmarkStart w:id="6" w:name="_Toc31278"/>
      <w:bookmarkStart w:id="7" w:name="_Toc14462"/>
      <w:bookmarkStart w:id="8" w:name="_Toc24679"/>
      <w:bookmarkStart w:id="9" w:name="_Toc13112"/>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内容</w:t>
      </w:r>
    </w:p>
    <w:p w14:paraId="5FDB9DBC">
      <w:pPr>
        <w:pStyle w:val="48"/>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幸福加油站一婚姻护航”婚姻家庭辅导项目</w:t>
      </w:r>
      <w:r>
        <w:rPr>
          <w:rFonts w:hint="eastAsia" w:ascii="宋体" w:hAnsi="宋体" w:eastAsia="宋体" w:cs="宋体"/>
          <w:color w:val="auto"/>
          <w:sz w:val="21"/>
          <w:szCs w:val="21"/>
          <w:highlight w:val="none"/>
          <w:shd w:val="clear" w:color="auto" w:fill="FFFFFF"/>
        </w:rPr>
        <w:t>主要为全市婚姻当事人</w:t>
      </w:r>
      <w:r>
        <w:rPr>
          <w:rFonts w:hint="eastAsia" w:ascii="宋体" w:hAnsi="宋体" w:eastAsia="宋体" w:cs="宋体"/>
          <w:color w:val="auto"/>
          <w:sz w:val="21"/>
          <w:szCs w:val="21"/>
          <w:highlight w:val="none"/>
          <w:shd w:val="clear" w:color="auto" w:fill="FFFFFF"/>
          <w:lang w:eastAsia="zh-CN"/>
        </w:rPr>
        <w:t>及符合婚姻登记的外来务工人员</w:t>
      </w:r>
      <w:r>
        <w:rPr>
          <w:rFonts w:hint="eastAsia" w:ascii="宋体" w:hAnsi="宋体" w:eastAsia="宋体" w:cs="宋体"/>
          <w:color w:val="auto"/>
          <w:sz w:val="21"/>
          <w:szCs w:val="21"/>
          <w:highlight w:val="none"/>
          <w:shd w:val="clear" w:color="auto" w:fill="FFFFFF"/>
        </w:rPr>
        <w:t>提供婚姻家庭辅导</w:t>
      </w:r>
      <w:r>
        <w:rPr>
          <w:rFonts w:hint="eastAsia" w:ascii="宋体" w:hAnsi="宋体" w:eastAsia="宋体" w:cs="宋体"/>
          <w:color w:val="auto"/>
          <w:sz w:val="21"/>
          <w:szCs w:val="21"/>
          <w:highlight w:val="none"/>
          <w:shd w:val="clear" w:color="auto" w:fill="FFFFFF"/>
          <w:lang w:eastAsia="zh-CN"/>
        </w:rPr>
        <w:t>服务，</w:t>
      </w:r>
      <w:r>
        <w:rPr>
          <w:rFonts w:hint="eastAsia" w:ascii="宋体" w:hAnsi="宋体" w:eastAsia="宋体" w:cs="宋体"/>
          <w:color w:val="auto"/>
          <w:sz w:val="21"/>
          <w:szCs w:val="21"/>
          <w:highlight w:val="none"/>
          <w:shd w:val="clear" w:color="auto" w:fill="FFFFFF"/>
        </w:rPr>
        <w:t>包括离婚调解及婚姻危机干预、新婚辅导、优生优育、法律法规宣传以及好家风好家教好家训宣传、婚俗改革宣传等服务，帮助婚姻当事人排解各种婚姻、家庭危机，最大限度地保护婚姻、维护家庭稳定。</w:t>
      </w:r>
    </w:p>
    <w:p w14:paraId="1F577272">
      <w:pPr>
        <w:keepNext w:val="0"/>
        <w:keepLines w:val="0"/>
        <w:pageBreakBefore w:val="0"/>
        <w:numPr>
          <w:ilvl w:val="0"/>
          <w:numId w:val="1"/>
        </w:numPr>
        <w:tabs>
          <w:tab w:val="left" w:pos="7303"/>
        </w:tabs>
        <w:kinsoku/>
        <w:wordWrap/>
        <w:overflowPunct/>
        <w:topLinePunct w:val="0"/>
        <w:autoSpaceDE/>
        <w:autoSpaceDN/>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33"/>
        <w:gridCol w:w="3128"/>
      </w:tblGrid>
      <w:tr w14:paraId="5F0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09B8BC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序号</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34451DC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服务名称</w:t>
            </w:r>
          </w:p>
        </w:tc>
        <w:tc>
          <w:tcPr>
            <w:tcW w:w="3128" w:type="dxa"/>
            <w:tcBorders>
              <w:top w:val="single" w:color="auto" w:sz="4" w:space="0"/>
              <w:left w:val="single" w:color="auto" w:sz="4" w:space="0"/>
              <w:bottom w:val="single" w:color="auto" w:sz="4" w:space="0"/>
              <w:right w:val="single" w:color="auto" w:sz="4" w:space="0"/>
            </w:tcBorders>
            <w:noWrap w:val="0"/>
            <w:vAlign w:val="top"/>
          </w:tcPr>
          <w:p w14:paraId="411F864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年均产出量</w:t>
            </w:r>
          </w:p>
        </w:tc>
      </w:tr>
      <w:tr w14:paraId="4358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7DAB998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1</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1C47987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个案服务</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6AD08F4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50</w:t>
            </w:r>
            <w:r>
              <w:rPr>
                <w:rFonts w:hint="default" w:ascii="宋体" w:hAnsi="宋体" w:eastAsia="宋体" w:cs="宋体"/>
                <w:color w:val="auto"/>
                <w:sz w:val="21"/>
                <w:szCs w:val="21"/>
                <w:highlight w:val="none"/>
                <w:shd w:val="clear" w:color="auto" w:fill="FFFFFF"/>
                <w:lang w:val="en-US" w:eastAsia="zh-CN" w:bidi="ar-SA"/>
              </w:rPr>
              <w:t>个</w:t>
            </w:r>
          </w:p>
        </w:tc>
      </w:tr>
      <w:tr w14:paraId="0A5A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628CCA3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2</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5767F8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婚姻辅导</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170C6B5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2500</w:t>
            </w:r>
            <w:r>
              <w:rPr>
                <w:rFonts w:hint="default" w:ascii="宋体" w:hAnsi="宋体" w:eastAsia="宋体" w:cs="宋体"/>
                <w:color w:val="auto"/>
                <w:sz w:val="21"/>
                <w:szCs w:val="21"/>
                <w:highlight w:val="none"/>
                <w:shd w:val="clear" w:color="auto" w:fill="FFFFFF"/>
                <w:lang w:val="en-US" w:eastAsia="zh-CN" w:bidi="ar-SA"/>
              </w:rPr>
              <w:t>人次</w:t>
            </w:r>
          </w:p>
        </w:tc>
      </w:tr>
      <w:tr w14:paraId="349D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2A0640B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3</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9DFAE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咨询</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73D8EF9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2500</w:t>
            </w:r>
            <w:r>
              <w:rPr>
                <w:rFonts w:hint="default" w:ascii="宋体" w:hAnsi="宋体" w:eastAsia="宋体" w:cs="宋体"/>
                <w:color w:val="auto"/>
                <w:sz w:val="21"/>
                <w:szCs w:val="21"/>
                <w:highlight w:val="none"/>
                <w:shd w:val="clear" w:color="auto" w:fill="FFFFFF"/>
                <w:lang w:val="en-US" w:eastAsia="zh-CN" w:bidi="ar-SA"/>
              </w:rPr>
              <w:t>人次</w:t>
            </w:r>
          </w:p>
        </w:tc>
      </w:tr>
      <w:tr w14:paraId="3CFA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71E06E4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4</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0260263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活动</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7616B12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w:t>
            </w:r>
            <w:r>
              <w:rPr>
                <w:rFonts w:hint="default" w:ascii="宋体" w:hAnsi="宋体" w:eastAsia="宋体" w:cs="宋体"/>
                <w:color w:val="auto"/>
                <w:sz w:val="21"/>
                <w:szCs w:val="21"/>
                <w:highlight w:val="none"/>
                <w:shd w:val="clear" w:color="auto" w:fill="FFFFFF"/>
                <w:lang w:val="en-US" w:eastAsia="zh-CN" w:bidi="ar-SA"/>
              </w:rPr>
              <w:t>个</w:t>
            </w:r>
          </w:p>
        </w:tc>
      </w:tr>
      <w:tr w14:paraId="45E3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0FF644E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5</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7B5F05B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服务总结</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3166B87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2份</w:t>
            </w:r>
          </w:p>
        </w:tc>
      </w:tr>
      <w:tr w14:paraId="3126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1843DEA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6</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213BA02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社工服务反思和服务探讨</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3D7D98F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1宗</w:t>
            </w:r>
          </w:p>
        </w:tc>
      </w:tr>
      <w:tr w14:paraId="6128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6DFCA54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7</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60ACB0F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媒体报道</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0DE9CAB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10</w:t>
            </w:r>
            <w:r>
              <w:rPr>
                <w:rFonts w:hint="default" w:ascii="宋体" w:hAnsi="宋体" w:eastAsia="宋体" w:cs="宋体"/>
                <w:color w:val="auto"/>
                <w:sz w:val="21"/>
                <w:szCs w:val="21"/>
                <w:highlight w:val="none"/>
                <w:shd w:val="clear" w:color="auto" w:fill="FFFFFF"/>
                <w:lang w:val="en-US" w:eastAsia="zh-CN" w:bidi="ar-SA"/>
              </w:rPr>
              <w:t>次以上</w:t>
            </w:r>
          </w:p>
        </w:tc>
      </w:tr>
      <w:tr w14:paraId="11FA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2678BF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8</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0F6CBE7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服务单位交办的其他工作（视需要而定）</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28A912D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w:t>
            </w:r>
          </w:p>
        </w:tc>
      </w:tr>
    </w:tbl>
    <w:p w14:paraId="0D80CE52">
      <w:pPr>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、服务要求</w:t>
      </w:r>
    </w:p>
    <w:p w14:paraId="008DB42A">
      <w:pPr>
        <w:pStyle w:val="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Times New Roman"/>
          <w:b/>
          <w:bCs/>
          <w:color w:val="auto"/>
          <w:sz w:val="21"/>
          <w:szCs w:val="21"/>
          <w:highlight w:val="none"/>
        </w:rPr>
        <w:t>★</w:t>
      </w:r>
      <w:r>
        <w:rPr>
          <w:rFonts w:hint="eastAsia" w:ascii="宋体" w:hAnsi="宋体" w:eastAsia="宋体" w:cs="宋体"/>
          <w:b/>
          <w:bCs/>
          <w:color w:val="auto"/>
          <w:sz w:val="21"/>
          <w:szCs w:val="21"/>
          <w:highlight w:val="none"/>
        </w:rPr>
        <w:t>（一）项目人员配备要求</w:t>
      </w:r>
    </w:p>
    <w:p w14:paraId="787EC451">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1.人员配备数量要求                        </w:t>
      </w:r>
    </w:p>
    <w:p w14:paraId="5AE0F14D">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应本着服务至上、诚信为本的宗旨，为采购人委派</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名</w:t>
      </w:r>
      <w:r>
        <w:rPr>
          <w:rFonts w:hint="eastAsia" w:ascii="宋体" w:hAnsi="宋体" w:eastAsia="宋体" w:cs="宋体"/>
          <w:b w:val="0"/>
          <w:bCs w:val="0"/>
          <w:color w:val="auto"/>
          <w:sz w:val="21"/>
          <w:szCs w:val="21"/>
          <w:highlight w:val="none"/>
        </w:rPr>
        <w:t>身体健康并符合要求的项目人员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项目计划设置项目主管1人（负责统筹、协调、执行项目服务），项目社工</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人（负责执行项目服务）。</w:t>
      </w:r>
    </w:p>
    <w:p w14:paraId="6A6B3413">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2.人员资质要求</w:t>
      </w:r>
    </w:p>
    <w:p w14:paraId="3952D610">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配备的项目社工应通过全国社会工作者职业水平考试，获得助理级社工师或中级社工师资格证书</w:t>
      </w:r>
      <w:r>
        <w:rPr>
          <w:rFonts w:hint="eastAsia" w:ascii="宋体" w:hAnsi="宋体" w:eastAsia="宋体" w:cs="宋体"/>
          <w:b w:val="0"/>
          <w:bCs w:val="0"/>
          <w:color w:val="auto"/>
          <w:sz w:val="21"/>
          <w:szCs w:val="21"/>
          <w:highlight w:val="none"/>
          <w:lang w:eastAsia="zh-CN"/>
        </w:rPr>
        <w:t>；至少</w:t>
      </w:r>
      <w:r>
        <w:rPr>
          <w:rFonts w:hint="eastAsia" w:ascii="宋体" w:hAnsi="宋体" w:eastAsia="宋体" w:cs="宋体"/>
          <w:b w:val="0"/>
          <w:bCs w:val="0"/>
          <w:color w:val="auto"/>
          <w:sz w:val="21"/>
          <w:szCs w:val="21"/>
          <w:highlight w:val="none"/>
          <w:lang w:val="en-US" w:eastAsia="zh-CN"/>
        </w:rPr>
        <w:t>1人获得心理咨询师或婚姻家庭咨询师资格证书。</w:t>
      </w:r>
    </w:p>
    <w:p w14:paraId="6989A90C">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（2）拟投入项目人数达5人以上的，按照</w:t>
      </w:r>
      <w:r>
        <w:rPr>
          <w:rFonts w:hint="eastAsia" w:hAnsi="宋体" w:cs="宋体"/>
          <w:b w:val="0"/>
          <w:bCs w:val="0"/>
          <w:color w:val="FF0000"/>
          <w:sz w:val="21"/>
          <w:szCs w:val="21"/>
          <w:highlight w:val="none"/>
          <w:lang w:val="en-US" w:eastAsia="zh-CN"/>
        </w:rPr>
        <w:t>2:3</w:t>
      </w:r>
      <w:r>
        <w:rPr>
          <w:rFonts w:hint="eastAsia" w:hAnsi="宋体" w:cs="宋体"/>
          <w:b w:val="0"/>
          <w:bCs w:val="0"/>
          <w:color w:val="FF0000"/>
          <w:sz w:val="21"/>
          <w:szCs w:val="21"/>
          <w:highlight w:val="none"/>
          <w:lang w:eastAsia="zh-CN"/>
        </w:rPr>
        <w:t>比例</w:t>
      </w:r>
      <w:r>
        <w:rPr>
          <w:rFonts w:hint="eastAsia" w:hAnsi="宋体" w:cs="宋体"/>
          <w:b w:val="0"/>
          <w:bCs w:val="0"/>
          <w:color w:val="auto"/>
          <w:sz w:val="21"/>
          <w:szCs w:val="21"/>
          <w:highlight w:val="none"/>
          <w:lang w:eastAsia="zh-CN"/>
        </w:rPr>
        <w:t>配备（中、高级）社会工作师和助理社会工作师。</w:t>
      </w:r>
    </w:p>
    <w:p w14:paraId="0DD28E72">
      <w:pPr>
        <w:pStyle w:val="2"/>
        <w:keepNext w:val="0"/>
        <w:keepLines w:val="0"/>
        <w:pageBreakBefore w:val="0"/>
        <w:kinsoku/>
        <w:wordWrap/>
        <w:overflowPunct/>
        <w:topLinePunct w:val="0"/>
        <w:autoSpaceDE/>
        <w:autoSpaceDN/>
        <w:bidi w:val="0"/>
        <w:spacing w:after="0" w:line="360" w:lineRule="exact"/>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（二）其他服务要求</w:t>
      </w:r>
    </w:p>
    <w:p w14:paraId="1690C5AC">
      <w:pPr>
        <w:keepNext w:val="0"/>
        <w:keepLines w:val="0"/>
        <w:pageBreakBefore w:val="0"/>
        <w:kinsoku/>
        <w:wordWrap/>
        <w:overflowPunct/>
        <w:topLinePunct w:val="0"/>
        <w:autoSpaceDE/>
        <w:autoSpaceDN/>
        <w:bidi w:val="0"/>
        <w:spacing w:after="0" w:line="36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与项目人员建立劳动关系，订立和履行劳动合同，支付工资并交纳相关的社会保险金等费用。其中社工人力成本发放应符合《东莞市人民政府办公室关于印发〈东莞市政府购买社会工作服务实施办法〉的通知》（东府办〔2021〕8号）以及《东莞市民政局 东莞市财政局关于印发〈政府购买社会工作服务资金使用管理办法〉的通知》（东民规〔2021〕2号）有关规定。</w:t>
      </w:r>
    </w:p>
    <w:p w14:paraId="213A4900">
      <w:pPr>
        <w:keepNext w:val="0"/>
        <w:keepLines w:val="0"/>
        <w:pageBreakBefore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中标人应</w:t>
      </w:r>
      <w:r>
        <w:rPr>
          <w:rFonts w:hint="eastAsia" w:ascii="宋体" w:hAnsi="宋体" w:eastAsia="宋体" w:cs="宋体"/>
          <w:color w:val="auto"/>
          <w:sz w:val="21"/>
          <w:szCs w:val="21"/>
          <w:highlight w:val="none"/>
        </w:rPr>
        <w:t>安排符合要求的项目人员，并提前向采购人及服务单位</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报备项目人员名单，经同意后方可安排上岗。如有人员变更的，需提前报备，征得采购人及服务单位同意后方可变更。</w:t>
      </w:r>
      <w:r>
        <w:rPr>
          <w:rFonts w:hint="eastAsia" w:ascii="宋体" w:hAnsi="宋体" w:eastAsia="宋体"/>
          <w:color w:val="auto"/>
          <w:sz w:val="21"/>
          <w:szCs w:val="21"/>
          <w:highlight w:val="none"/>
          <w:lang w:val="en-US" w:eastAsia="zh-CN"/>
        </w:rPr>
        <w:t>服务单位应每月核准中标人项目人员在岗情况，并向采购人报送中标人项目人员在岗情况。</w:t>
      </w:r>
    </w:p>
    <w:p w14:paraId="6797A0FE">
      <w:pPr>
        <w:pStyle w:val="7"/>
        <w:keepNext w:val="0"/>
        <w:keepLines w:val="0"/>
        <w:pageBreakBefore w:val="0"/>
        <w:kinsoku/>
        <w:wordWrap/>
        <w:overflowPunct/>
        <w:topLinePunct w:val="0"/>
        <w:autoSpaceDE/>
        <w:autoSpaceDN/>
        <w:bidi w:val="0"/>
        <w:spacing w:before="0" w:after="0" w:line="360" w:lineRule="exact"/>
        <w:ind w:firstLine="420" w:firstLineChars="200"/>
        <w:textAlignment w:val="auto"/>
        <w:rPr>
          <w:rFonts w:hint="eastAsia"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应每季度提交社工项目工作报告；</w:t>
      </w:r>
      <w:r>
        <w:rPr>
          <w:rFonts w:hint="eastAsia" w:ascii="宋体" w:hAnsi="宋体" w:eastAsia="宋体" w:cstheme="minorBidi"/>
          <w:color w:val="auto"/>
          <w:sz w:val="21"/>
          <w:szCs w:val="21"/>
          <w:highlight w:val="none"/>
          <w:lang w:val="en-US" w:eastAsia="zh-CN" w:bidi="ar-SA"/>
        </w:rPr>
        <w:t>运营满6个月、</w:t>
      </w:r>
      <w:r>
        <w:rPr>
          <w:rFonts w:hint="eastAsia" w:ascii="宋体" w:hAnsi="宋体" w:eastAsia="宋体" w:cs="宋体"/>
          <w:color w:val="auto"/>
          <w:sz w:val="21"/>
          <w:szCs w:val="21"/>
          <w:highlight w:val="none"/>
        </w:rPr>
        <w:t>合同结束后10个工作日内提交社工项目总结报告。</w:t>
      </w:r>
      <w:r>
        <w:rPr>
          <w:rFonts w:hint="eastAsia" w:cs="宋体"/>
          <w:color w:val="auto"/>
          <w:sz w:val="21"/>
          <w:szCs w:val="21"/>
          <w:highlight w:val="none"/>
          <w:lang w:eastAsia="zh-CN"/>
        </w:rPr>
        <w:t>上述报告须经服务单位审核确认后再报送采购人。</w:t>
      </w:r>
    </w:p>
    <w:p w14:paraId="2A975CA2">
      <w:pPr>
        <w:pStyle w:val="7"/>
        <w:keepNext w:val="0"/>
        <w:keepLines w:val="0"/>
        <w:pageBreakBefore w:val="0"/>
        <w:kinsoku/>
        <w:wordWrap/>
        <w:overflowPunct/>
        <w:topLinePunct w:val="0"/>
        <w:autoSpaceDE/>
        <w:autoSpaceDN/>
        <w:bidi w:val="0"/>
        <w:spacing w:before="0" w:after="0" w:line="360" w:lineRule="exact"/>
        <w:ind w:firstLine="420" w:firstLineChars="200"/>
        <w:textAlignment w:val="auto"/>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4.合同期内，中标人应制定督导制度和年度督导计划，</w:t>
      </w:r>
      <w:r>
        <w:rPr>
          <w:rFonts w:hint="eastAsia" w:ascii="宋体" w:hAnsi="宋体" w:eastAsia="宋体" w:cs="宋体"/>
          <w:color w:val="auto"/>
          <w:sz w:val="21"/>
          <w:szCs w:val="21"/>
          <w:highlight w:val="none"/>
          <w:lang w:val="en-US" w:eastAsia="zh-CN" w:bidi="zh-CN"/>
        </w:rPr>
        <w:t>安排督导人员每月至少开展1次现场督导，加强项目人员的专业能力建设，督导服务结束后，需向采购人提交督导</w:t>
      </w:r>
      <w:r>
        <w:rPr>
          <w:rFonts w:hint="eastAsia" w:cs="宋体"/>
          <w:color w:val="auto"/>
          <w:sz w:val="21"/>
          <w:szCs w:val="21"/>
          <w:highlight w:val="none"/>
          <w:lang w:val="en-US" w:eastAsia="zh-CN" w:bidi="zh-CN"/>
        </w:rPr>
        <w:t>服务记录</w:t>
      </w:r>
      <w:r>
        <w:rPr>
          <w:rFonts w:hint="eastAsia" w:ascii="宋体" w:hAnsi="宋体" w:eastAsia="宋体" w:cs="宋体"/>
          <w:color w:val="auto"/>
          <w:sz w:val="21"/>
          <w:szCs w:val="21"/>
          <w:highlight w:val="none"/>
          <w:lang w:val="en-US" w:eastAsia="zh-CN" w:bidi="zh-CN"/>
        </w:rPr>
        <w:t>。</w:t>
      </w:r>
    </w:p>
    <w:p w14:paraId="154A40AF">
      <w:pPr>
        <w:pStyle w:val="7"/>
        <w:keepNext w:val="0"/>
        <w:keepLines w:val="0"/>
        <w:pageBreakBefore w:val="0"/>
        <w:kinsoku/>
        <w:wordWrap/>
        <w:overflowPunct/>
        <w:topLinePunct w:val="0"/>
        <w:autoSpaceDE/>
        <w:autoSpaceDN/>
        <w:bidi w:val="0"/>
        <w:spacing w:before="0" w:after="0" w:line="360" w:lineRule="exact"/>
        <w:ind w:firstLine="420" w:firstLineChars="20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5.在合同初期，中标</w:t>
      </w:r>
      <w:r>
        <w:rPr>
          <w:rFonts w:hint="eastAsia" w:cs="宋体"/>
          <w:color w:val="auto"/>
          <w:sz w:val="21"/>
          <w:szCs w:val="21"/>
          <w:highlight w:val="none"/>
          <w:lang w:val="en-US" w:eastAsia="zh-CN" w:bidi="zh-CN"/>
        </w:rPr>
        <w:t>人</w:t>
      </w:r>
      <w:r>
        <w:rPr>
          <w:rFonts w:hint="eastAsia" w:ascii="宋体" w:hAnsi="宋体" w:eastAsia="宋体" w:cs="宋体"/>
          <w:color w:val="auto"/>
          <w:sz w:val="21"/>
          <w:szCs w:val="21"/>
          <w:highlight w:val="none"/>
          <w:lang w:val="en-US" w:eastAsia="zh-CN" w:bidi="zh-CN"/>
        </w:rPr>
        <w:t>需制定与项目要求相符的服务计划，明确服务目标</w:t>
      </w:r>
      <w:r>
        <w:rPr>
          <w:rFonts w:hint="eastAsia" w:cs="宋体"/>
          <w:color w:val="auto"/>
          <w:sz w:val="21"/>
          <w:szCs w:val="21"/>
          <w:highlight w:val="none"/>
          <w:lang w:val="en-US" w:eastAsia="zh-CN" w:bidi="zh-CN"/>
        </w:rPr>
        <w:t>及成效评估方案</w:t>
      </w:r>
      <w:r>
        <w:rPr>
          <w:rFonts w:hint="eastAsia" w:ascii="宋体" w:hAnsi="宋体" w:eastAsia="宋体" w:cs="宋体"/>
          <w:color w:val="auto"/>
          <w:sz w:val="21"/>
          <w:szCs w:val="21"/>
          <w:highlight w:val="none"/>
          <w:lang w:val="en-US" w:eastAsia="zh-CN" w:bidi="zh-CN"/>
        </w:rPr>
        <w:t>；合同期结束后，</w:t>
      </w:r>
      <w:r>
        <w:rPr>
          <w:rFonts w:hint="eastAsia" w:cs="宋体"/>
          <w:color w:val="auto"/>
          <w:sz w:val="21"/>
          <w:szCs w:val="21"/>
          <w:highlight w:val="none"/>
          <w:lang w:val="en-US" w:eastAsia="zh-CN" w:bidi="zh-CN"/>
        </w:rPr>
        <w:t>需</w:t>
      </w:r>
      <w:r>
        <w:rPr>
          <w:rFonts w:hint="eastAsia" w:ascii="宋体" w:hAnsi="宋体" w:eastAsia="宋体" w:cs="宋体"/>
          <w:color w:val="auto"/>
          <w:sz w:val="21"/>
          <w:szCs w:val="21"/>
          <w:highlight w:val="none"/>
          <w:lang w:val="en-US" w:eastAsia="zh-CN" w:bidi="zh-CN"/>
        </w:rPr>
        <w:t>对服务内容、过程、目标达成情况等内容进行成效评估并</w:t>
      </w:r>
      <w:r>
        <w:rPr>
          <w:rFonts w:hint="eastAsia" w:cs="宋体"/>
          <w:color w:val="auto"/>
          <w:sz w:val="21"/>
          <w:szCs w:val="21"/>
          <w:highlight w:val="none"/>
          <w:lang w:val="en-US" w:eastAsia="zh-CN" w:bidi="zh-CN"/>
        </w:rPr>
        <w:t>形成服务总结报告。</w:t>
      </w:r>
    </w:p>
    <w:p w14:paraId="2CD7E17B">
      <w:pPr>
        <w:keepNext w:val="0"/>
        <w:keepLines w:val="0"/>
        <w:pageBreakBefore w:val="0"/>
        <w:widowControl/>
        <w:kinsoku/>
        <w:wordWrap/>
        <w:overflowPunct/>
        <w:topLinePunct w:val="0"/>
        <w:autoSpaceDE/>
        <w:autoSpaceDN/>
        <w:bidi w:val="0"/>
        <w:adjustRightInd w:val="0"/>
        <w:snapToGrid w:val="0"/>
        <w:spacing w:after="0" w:line="360" w:lineRule="exact"/>
        <w:ind w:firstLine="422" w:firstLineChars="200"/>
        <w:textAlignment w:val="auto"/>
        <w:rPr>
          <w:rFonts w:eastAsiaTheme="minorEastAsia"/>
          <w:b/>
          <w:color w:val="auto"/>
          <w:sz w:val="21"/>
          <w:szCs w:val="21"/>
          <w:highlight w:val="none"/>
        </w:rPr>
      </w:pPr>
      <w:bookmarkStart w:id="10" w:name="OLE_LINK2"/>
      <w:r>
        <w:rPr>
          <w:rFonts w:hint="eastAsia" w:eastAsiaTheme="minorEastAsia"/>
          <w:b/>
          <w:color w:val="auto"/>
          <w:sz w:val="21"/>
          <w:szCs w:val="21"/>
          <w:highlight w:val="none"/>
          <w:lang w:eastAsia="zh-CN"/>
        </w:rPr>
        <w:t>三、</w:t>
      </w:r>
      <w:r>
        <w:rPr>
          <w:rFonts w:hint="eastAsia" w:eastAsiaTheme="minorEastAsia"/>
          <w:b/>
          <w:color w:val="auto"/>
          <w:sz w:val="21"/>
          <w:szCs w:val="21"/>
          <w:highlight w:val="none"/>
        </w:rPr>
        <w:t>培训要求</w:t>
      </w:r>
    </w:p>
    <w:p w14:paraId="70780C6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（一）培训对象。服务期内，中标人须针对拟投入项目人员开展培训。</w:t>
      </w:r>
    </w:p>
    <w:p w14:paraId="24C6D0C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（二）培训内容与形式。培训内容可包括社会工作理论、实务技巧、团队管理、项目管理等内容。培训形式可采用集中培训、线上授课、专题讲座、工作坊、参访交流等多种形式。</w:t>
      </w:r>
    </w:p>
    <w:p w14:paraId="6619A061">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（三）培训时长要求。服务期内中标人须针对拟投入项目人员定期开展培训，保证培训时长每年不少于24小时。项目实施期间，中标人因不可控因素导致无法开展线下培训的，经采购人同意后可调整授课形式。</w:t>
      </w:r>
    </w:p>
    <w:p w14:paraId="218B3809">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四）课程及讲师要求。培训课程内容主要为婚姻家庭辅导知识、管理知识以及社会工作实务所需的其它专业知识；须根据课程设计组织符合资质的人担任授课讲师，可包括高校社会工作专业教师、具备丰富社会服务经验的资深社会服务人士或其它相关专业人员。</w:t>
      </w:r>
    </w:p>
    <w:p w14:paraId="7F7B78DA">
      <w:pPr>
        <w:keepNext w:val="0"/>
        <w:keepLines w:val="0"/>
        <w:pageBreakBefore w:val="0"/>
        <w:widowControl/>
        <w:kinsoku/>
        <w:wordWrap/>
        <w:overflowPunct/>
        <w:topLinePunct w:val="0"/>
        <w:autoSpaceDE/>
        <w:autoSpaceDN/>
        <w:bidi w:val="0"/>
        <w:adjustRightInd w:val="0"/>
        <w:snapToGrid w:val="0"/>
        <w:spacing w:after="0" w:line="360" w:lineRule="exact"/>
        <w:ind w:firstLine="422" w:firstLineChars="200"/>
        <w:textAlignment w:val="auto"/>
        <w:rPr>
          <w:rFonts w:eastAsiaTheme="minorEastAsia"/>
          <w:b/>
          <w:color w:val="auto"/>
          <w:sz w:val="21"/>
          <w:szCs w:val="21"/>
          <w:highlight w:val="none"/>
        </w:rPr>
      </w:pPr>
      <w:r>
        <w:rPr>
          <w:rFonts w:hint="eastAsia" w:eastAsiaTheme="minorEastAsia"/>
          <w:b/>
          <w:color w:val="auto"/>
          <w:sz w:val="21"/>
          <w:szCs w:val="21"/>
          <w:highlight w:val="none"/>
          <w:lang w:eastAsia="zh-CN"/>
        </w:rPr>
        <w:t>四、</w:t>
      </w:r>
      <w:r>
        <w:rPr>
          <w:rFonts w:hint="eastAsia" w:eastAsiaTheme="minorEastAsia"/>
          <w:b/>
          <w:color w:val="auto"/>
          <w:sz w:val="21"/>
          <w:szCs w:val="21"/>
          <w:highlight w:val="none"/>
        </w:rPr>
        <w:t>质量保证服务要求</w:t>
      </w:r>
    </w:p>
    <w:p w14:paraId="2C36DB9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（一）中标人应建立全面的质量保证体系，明确各环节的质量标准和要求，确保整个项目服务过程的顺利进行。</w:t>
      </w:r>
    </w:p>
    <w:p w14:paraId="6E85B8A2">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（二）中标人应制定详细的质量检查表，对每个环节进行定期检查和评估，及时发现并解决问题，确保服务质量符合预定标准。</w:t>
      </w:r>
    </w:p>
    <w:p w14:paraId="5C939CE1">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hint="eastAsia" w:eastAsiaTheme="minorEastAsia"/>
          <w:bCs/>
          <w:color w:val="auto"/>
          <w:sz w:val="21"/>
          <w:szCs w:val="21"/>
          <w:highlight w:val="none"/>
        </w:rPr>
        <w:t>（三）在服务过程中，如出现质量问题或收到投诉，中标人应迅速响应并及时处理，以保障服务对象的合法权益。</w:t>
      </w:r>
    </w:p>
    <w:p w14:paraId="1E26BFFD">
      <w:pPr>
        <w:keepNext w:val="0"/>
        <w:keepLines w:val="0"/>
        <w:pageBreakBefore w:val="0"/>
        <w:widowControl/>
        <w:kinsoku/>
        <w:wordWrap/>
        <w:overflowPunct/>
        <w:topLinePunct w:val="0"/>
        <w:autoSpaceDE/>
        <w:autoSpaceDN/>
        <w:bidi w:val="0"/>
        <w:adjustRightInd w:val="0"/>
        <w:snapToGrid w:val="0"/>
        <w:spacing w:after="0" w:line="360" w:lineRule="exact"/>
        <w:ind w:firstLine="422" w:firstLineChars="200"/>
        <w:textAlignment w:val="auto"/>
        <w:rPr>
          <w:rFonts w:eastAsiaTheme="minorEastAsia"/>
          <w:b/>
          <w:color w:val="auto"/>
          <w:sz w:val="21"/>
          <w:szCs w:val="21"/>
          <w:highlight w:val="none"/>
        </w:rPr>
      </w:pPr>
      <w:r>
        <w:rPr>
          <w:rFonts w:hint="eastAsia" w:eastAsiaTheme="minorEastAsia"/>
          <w:b/>
          <w:color w:val="auto"/>
          <w:sz w:val="21"/>
          <w:szCs w:val="21"/>
          <w:highlight w:val="none"/>
          <w:lang w:eastAsia="zh-CN"/>
        </w:rPr>
        <w:t>五、</w:t>
      </w:r>
      <w:r>
        <w:rPr>
          <w:rFonts w:hint="eastAsia" w:eastAsiaTheme="minorEastAsia"/>
          <w:b/>
          <w:color w:val="auto"/>
          <w:sz w:val="21"/>
          <w:szCs w:val="21"/>
          <w:highlight w:val="none"/>
        </w:rPr>
        <w:t>组织架构要求</w:t>
      </w:r>
    </w:p>
    <w:p w14:paraId="39A1FD1C">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eastAsiaTheme="minorEastAsia"/>
          <w:bCs/>
          <w:color w:val="auto"/>
          <w:sz w:val="21"/>
          <w:szCs w:val="21"/>
          <w:highlight w:val="none"/>
        </w:rPr>
        <w:t>（一）中标人应具备完善的组织管理架构及岗位职责。</w:t>
      </w:r>
    </w:p>
    <w:p w14:paraId="53ACD44C">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eastAsiaTheme="minorEastAsia"/>
          <w:bCs/>
          <w:color w:val="auto"/>
          <w:sz w:val="21"/>
          <w:szCs w:val="21"/>
          <w:highlight w:val="none"/>
        </w:rPr>
      </w:pPr>
      <w:r>
        <w:rPr>
          <w:rFonts w:eastAsiaTheme="minorEastAsia"/>
          <w:bCs/>
          <w:color w:val="auto"/>
          <w:sz w:val="21"/>
          <w:szCs w:val="21"/>
          <w:highlight w:val="none"/>
        </w:rPr>
        <w:t>（二）中标人应具备有利于本项目实施的管理服务理念与管理模式。</w:t>
      </w:r>
    </w:p>
    <w:p w14:paraId="15D829A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color w:val="auto"/>
          <w:sz w:val="21"/>
          <w:szCs w:val="21"/>
          <w:highlight w:val="none"/>
        </w:rPr>
      </w:pPr>
      <w:r>
        <w:rPr>
          <w:rFonts w:eastAsiaTheme="minorEastAsia"/>
          <w:bCs/>
          <w:color w:val="auto"/>
          <w:sz w:val="21"/>
          <w:szCs w:val="21"/>
          <w:highlight w:val="none"/>
        </w:rPr>
        <w:t>（</w:t>
      </w:r>
      <w:r>
        <w:rPr>
          <w:rFonts w:hint="eastAsia" w:eastAsiaTheme="minorEastAsia"/>
          <w:bCs/>
          <w:color w:val="auto"/>
          <w:sz w:val="21"/>
          <w:szCs w:val="21"/>
          <w:highlight w:val="none"/>
        </w:rPr>
        <w:t>三</w:t>
      </w:r>
      <w:r>
        <w:rPr>
          <w:rFonts w:eastAsiaTheme="minorEastAsia"/>
          <w:bCs/>
          <w:color w:val="auto"/>
          <w:sz w:val="21"/>
          <w:szCs w:val="21"/>
          <w:highlight w:val="none"/>
        </w:rPr>
        <w:t>）中标人应建立完善的</w:t>
      </w:r>
      <w:r>
        <w:rPr>
          <w:rFonts w:hint="eastAsia" w:eastAsiaTheme="minorEastAsia"/>
          <w:bCs/>
          <w:color w:val="auto"/>
          <w:sz w:val="21"/>
          <w:szCs w:val="21"/>
          <w:highlight w:val="none"/>
        </w:rPr>
        <w:t>员工</w:t>
      </w:r>
      <w:r>
        <w:rPr>
          <w:rFonts w:eastAsiaTheme="minorEastAsia"/>
          <w:bCs/>
          <w:color w:val="auto"/>
          <w:sz w:val="21"/>
          <w:szCs w:val="21"/>
          <w:highlight w:val="none"/>
        </w:rPr>
        <w:t>选拔和培训机制，确保</w:t>
      </w:r>
      <w:r>
        <w:rPr>
          <w:rFonts w:hint="eastAsia" w:eastAsiaTheme="minorEastAsia"/>
          <w:bCs/>
          <w:color w:val="auto"/>
          <w:sz w:val="21"/>
          <w:szCs w:val="21"/>
          <w:highlight w:val="none"/>
        </w:rPr>
        <w:t>服务人员</w:t>
      </w:r>
      <w:r>
        <w:rPr>
          <w:rFonts w:eastAsiaTheme="minorEastAsia"/>
          <w:bCs/>
          <w:color w:val="auto"/>
          <w:sz w:val="21"/>
          <w:szCs w:val="21"/>
          <w:highlight w:val="none"/>
        </w:rPr>
        <w:t>具备专业技能和良好的职业素养。</w:t>
      </w:r>
    </w:p>
    <w:bookmarkEnd w:id="10"/>
    <w:p w14:paraId="65A68F1B">
      <w:pPr>
        <w:keepNext w:val="0"/>
        <w:keepLines w:val="0"/>
        <w:pageBreakBefore w:val="0"/>
        <w:kinsoku/>
        <w:wordWrap/>
        <w:overflowPunct/>
        <w:topLinePunct w:val="0"/>
        <w:autoSpaceDE/>
        <w:autoSpaceDN/>
        <w:bidi w:val="0"/>
        <w:spacing w:after="0" w:line="360" w:lineRule="exact"/>
        <w:textAlignment w:val="auto"/>
        <w:rPr>
          <w:rFonts w:hint="eastAsia" w:ascii="宋体" w:hAnsi="宋体" w:eastAsia="宋体" w:cs="Times New Roman"/>
          <w:b/>
          <w:bCs/>
          <w:color w:val="auto"/>
          <w:sz w:val="21"/>
          <w:szCs w:val="21"/>
          <w:highlight w:val="none"/>
        </w:rPr>
      </w:pPr>
    </w:p>
    <w:p w14:paraId="79DCF1FB">
      <w:pPr>
        <w:keepNext w:val="0"/>
        <w:keepLines w:val="0"/>
        <w:pageBreakBefore w:val="0"/>
        <w:kinsoku/>
        <w:wordWrap/>
        <w:overflowPunct/>
        <w:topLinePunct w:val="0"/>
        <w:autoSpaceDE/>
        <w:autoSpaceDN/>
        <w:bidi w:val="0"/>
        <w:spacing w:after="0" w:line="360" w:lineRule="exact"/>
        <w:ind w:firstLine="422" w:firstLineChars="200"/>
        <w:textAlignment w:val="auto"/>
        <w:rPr>
          <w:color w:val="auto"/>
          <w:sz w:val="24"/>
          <w:szCs w:val="24"/>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r>
        <w:rPr>
          <w:rFonts w:hint="eastAsia"/>
          <w:color w:val="auto"/>
          <w:sz w:val="24"/>
          <w:szCs w:val="24"/>
          <w:highlight w:val="none"/>
        </w:rPr>
        <w:br w:type="page"/>
      </w:r>
      <w:bookmarkStart w:id="11" w:name="_Toc27370"/>
      <w:r>
        <w:rPr>
          <w:rFonts w:hint="eastAsia"/>
          <w:color w:val="auto"/>
          <w:sz w:val="28"/>
          <w:szCs w:val="28"/>
          <w:highlight w:val="none"/>
        </w:rPr>
        <w:t>第四部分 投标人须知</w:t>
      </w:r>
      <w:bookmarkEnd w:id="11"/>
    </w:p>
    <w:p w14:paraId="2B3A2D8D">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12" w:name="_Toc8045"/>
      <w:r>
        <w:rPr>
          <w:rFonts w:hint="eastAsia" w:ascii="宋体" w:hAnsi="宋体" w:eastAsia="宋体"/>
          <w:color w:val="auto"/>
          <w:highlight w:val="none"/>
        </w:rPr>
        <w:t>说明</w:t>
      </w:r>
      <w:bookmarkEnd w:id="12"/>
    </w:p>
    <w:p w14:paraId="35DE0BAB">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3" w:name="_Toc2381"/>
      <w:r>
        <w:rPr>
          <w:rFonts w:hint="eastAsia" w:ascii="宋体" w:hAnsi="宋体" w:eastAsia="宋体"/>
          <w:color w:val="auto"/>
          <w:sz w:val="21"/>
          <w:szCs w:val="21"/>
          <w:highlight w:val="none"/>
        </w:rPr>
        <w:t>1.适用范围</w:t>
      </w:r>
      <w:bookmarkEnd w:id="13"/>
    </w:p>
    <w:p w14:paraId="699BFBE1">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1.1.</w:t>
      </w:r>
      <w:r>
        <w:rPr>
          <w:rFonts w:hint="eastAsia" w:ascii="宋体" w:hAnsi="宋体" w:eastAsia="宋体"/>
          <w:color w:val="auto"/>
          <w:sz w:val="21"/>
          <w:szCs w:val="21"/>
          <w:highlight w:val="none"/>
        </w:rPr>
        <w:t>招标范围：见本文件《用户需求书》</w:t>
      </w:r>
    </w:p>
    <w:p w14:paraId="21CC2515">
      <w:pPr>
        <w:pageBreakBefore w:val="0"/>
        <w:kinsoku/>
        <w:wordWrap/>
        <w:topLinePunct w:val="0"/>
        <w:autoSpaceDE/>
        <w:autoSpaceDN/>
        <w:bidi w:val="0"/>
        <w:spacing w:line="400" w:lineRule="exact"/>
        <w:textAlignment w:val="auto"/>
        <w:rPr>
          <w:color w:val="auto"/>
          <w:highlight w:val="none"/>
        </w:rPr>
      </w:pPr>
    </w:p>
    <w:p w14:paraId="47C52AA0">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4" w:name="_Toc15203"/>
      <w:r>
        <w:rPr>
          <w:rFonts w:hint="eastAsia" w:ascii="宋体" w:hAnsi="宋体" w:eastAsia="宋体"/>
          <w:color w:val="auto"/>
          <w:sz w:val="21"/>
          <w:szCs w:val="21"/>
          <w:highlight w:val="none"/>
        </w:rPr>
        <w:t>2.</w:t>
      </w:r>
      <w:bookmarkStart w:id="15" w:name="_Toc298847174"/>
      <w:bookmarkStart w:id="16" w:name="_Toc382049092"/>
      <w:bookmarkStart w:id="17" w:name="_Toc1530"/>
      <w:bookmarkStart w:id="18" w:name="_Toc303084246"/>
      <w:r>
        <w:rPr>
          <w:rFonts w:hint="eastAsia" w:ascii="宋体" w:hAnsi="宋体" w:eastAsia="宋体"/>
          <w:color w:val="auto"/>
          <w:sz w:val="21"/>
          <w:szCs w:val="21"/>
          <w:highlight w:val="none"/>
        </w:rPr>
        <w:t>定义</w:t>
      </w:r>
      <w:bookmarkEnd w:id="14"/>
      <w:bookmarkEnd w:id="15"/>
      <w:bookmarkEnd w:id="16"/>
      <w:bookmarkEnd w:id="17"/>
      <w:bookmarkEnd w:id="18"/>
    </w:p>
    <w:p w14:paraId="0EB061B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2.1.</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14:paraId="5ED4356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w:t>
      </w:r>
      <w:r>
        <w:rPr>
          <w:rFonts w:hint="eastAsia" w:ascii="宋体" w:hAnsi="宋体" w:eastAsia="宋体"/>
          <w:color w:val="auto"/>
          <w:sz w:val="21"/>
          <w:szCs w:val="21"/>
          <w:highlight w:val="none"/>
        </w:rPr>
        <w:t>投标人：响应招标并且符合招标文件规定资格条件和参加投标竞争的法人、其他组织或者自然人。</w:t>
      </w:r>
    </w:p>
    <w:p w14:paraId="6FF2EDA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w:t>
      </w: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14:paraId="615576B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2.4.</w:t>
      </w:r>
      <w:r>
        <w:rPr>
          <w:rFonts w:hint="eastAsia" w:ascii="宋体" w:hAnsi="宋体" w:eastAsia="宋体"/>
          <w:color w:val="auto"/>
          <w:sz w:val="21"/>
          <w:szCs w:val="21"/>
          <w:highlight w:val="none"/>
        </w:rPr>
        <w:t>中标人：指经评标委员会评审推荐、采购人确认的获得本项目中标资格的投标人。</w:t>
      </w:r>
    </w:p>
    <w:p w14:paraId="5F91103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2.5.</w:t>
      </w:r>
      <w:r>
        <w:rPr>
          <w:rFonts w:hint="eastAsia" w:ascii="宋体" w:hAnsi="宋体" w:eastAsia="宋体"/>
          <w:color w:val="auto"/>
          <w:sz w:val="21"/>
          <w:szCs w:val="21"/>
          <w:highlight w:val="none"/>
        </w:rPr>
        <w:t>采购代理机构：三方诚信招标有限公司东莞分公司。</w:t>
      </w:r>
    </w:p>
    <w:p w14:paraId="71BA0550">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w:t>
      </w: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14:paraId="6873757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2.7.</w:t>
      </w:r>
      <w:r>
        <w:rPr>
          <w:rFonts w:hint="eastAsia" w:ascii="宋体" w:hAnsi="宋体" w:eastAsia="宋体"/>
          <w:color w:val="auto"/>
          <w:sz w:val="21"/>
          <w:szCs w:val="21"/>
          <w:highlight w:val="none"/>
        </w:rPr>
        <w:t>合同：指由本次招标所产生的合同或合约文件。</w:t>
      </w:r>
    </w:p>
    <w:p w14:paraId="42CF8B2A">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2.8.</w:t>
      </w: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14:paraId="71796911">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2.9.</w:t>
      </w: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14:paraId="15BA4075">
      <w:pPr>
        <w:pageBreakBefore w:val="0"/>
        <w:kinsoku/>
        <w:wordWrap/>
        <w:topLinePunct w:val="0"/>
        <w:autoSpaceDE/>
        <w:autoSpaceDN/>
        <w:bidi w:val="0"/>
        <w:spacing w:line="400" w:lineRule="exact"/>
        <w:textAlignment w:val="auto"/>
        <w:rPr>
          <w:color w:val="auto"/>
          <w:highlight w:val="none"/>
        </w:rPr>
      </w:pPr>
    </w:p>
    <w:p w14:paraId="34E50688">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19" w:name="_Toc1072"/>
      <w:r>
        <w:rPr>
          <w:rFonts w:hint="eastAsia" w:ascii="宋体" w:hAnsi="宋体" w:eastAsia="宋体"/>
          <w:color w:val="auto"/>
          <w:sz w:val="21"/>
          <w:szCs w:val="21"/>
          <w:highlight w:val="none"/>
        </w:rPr>
        <w:t>3.货物和服务</w:t>
      </w:r>
      <w:bookmarkEnd w:id="19"/>
    </w:p>
    <w:p w14:paraId="10E409FA">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3.1.</w:t>
      </w:r>
      <w:r>
        <w:rPr>
          <w:rFonts w:hint="eastAsia" w:ascii="宋体" w:hAnsi="宋体" w:eastAsia="宋体"/>
          <w:iCs/>
          <w:color w:val="auto"/>
          <w:sz w:val="21"/>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3D4AFA75">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3.2.</w:t>
      </w:r>
      <w:r>
        <w:rPr>
          <w:rFonts w:hint="eastAsia" w:ascii="宋体" w:hAnsi="宋体" w:eastAsia="宋体"/>
          <w:iCs/>
          <w:color w:val="auto"/>
          <w:sz w:val="21"/>
          <w:szCs w:val="21"/>
          <w:highlight w:val="none"/>
        </w:rPr>
        <w:t>服务是指除货物和工程以外的其他政府采购对象，且满足实质性采购需求。</w:t>
      </w:r>
    </w:p>
    <w:p w14:paraId="4E6B27A1">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3.3.</w:t>
      </w:r>
      <w:r>
        <w:rPr>
          <w:rFonts w:hint="eastAsia" w:ascii="宋体" w:hAnsi="宋体" w:eastAsia="宋体"/>
          <w:iCs/>
          <w:color w:val="auto"/>
          <w:sz w:val="21"/>
          <w:szCs w:val="21"/>
          <w:highlight w:val="none"/>
        </w:rPr>
        <w:t>政府采购应当采购本国产品，确需采购进口产品（是指通过中国海关报关验放进入中国境内且产自关境外的产品）的，</w:t>
      </w:r>
      <w:bookmarkStart w:id="20" w:name="_Toc211763038"/>
      <w:r>
        <w:rPr>
          <w:rFonts w:hint="eastAsia" w:ascii="宋体" w:hAnsi="宋体" w:eastAsia="宋体"/>
          <w:iCs/>
          <w:color w:val="auto"/>
          <w:sz w:val="21"/>
          <w:szCs w:val="21"/>
          <w:highlight w:val="none"/>
        </w:rPr>
        <w:t>应当获得财政部门核准。依据《政府采购进口产品管理办法</w:t>
      </w:r>
      <w:bookmarkEnd w:id="20"/>
      <w:r>
        <w:rPr>
          <w:rFonts w:hint="eastAsia" w:ascii="宋体" w:hAnsi="宋体" w:eastAsia="宋体"/>
          <w:iCs/>
          <w:color w:val="auto"/>
          <w:sz w:val="21"/>
          <w:szCs w:val="21"/>
          <w:highlight w:val="none"/>
        </w:rPr>
        <w:t>》优先采购向我国企业转让技术、与我国企业签订消化吸收再创新方案的供应商的进口产品。</w:t>
      </w:r>
    </w:p>
    <w:p w14:paraId="582953C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3.4.</w:t>
      </w:r>
      <w:r>
        <w:rPr>
          <w:rFonts w:hint="eastAsia" w:ascii="宋体" w:hAnsi="宋体" w:eastAsia="宋体"/>
          <w:iCs/>
          <w:color w:val="auto"/>
          <w:sz w:val="21"/>
          <w:szCs w:val="21"/>
          <w:highlight w:val="none"/>
        </w:rPr>
        <w:t>投标人提供的所有服务，其质量、技术等特征必须符合国家、行业现行法律、法规的相关标准和《中华人民共和国政府采购法》的有关规定及用户需求。</w:t>
      </w:r>
    </w:p>
    <w:p w14:paraId="1694D3E4">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3.5.</w:t>
      </w:r>
      <w:r>
        <w:rPr>
          <w:rFonts w:hint="eastAsia" w:ascii="宋体" w:hAnsi="宋体" w:eastAsia="宋体"/>
          <w:iCs/>
          <w:color w:val="auto"/>
          <w:sz w:val="21"/>
          <w:szCs w:val="21"/>
          <w:highlight w:val="none"/>
        </w:rPr>
        <w:t>采购人有权拒绝接受任何不合格的服务，由此产生的费用及相关后果均由中标人自行承担；</w:t>
      </w:r>
    </w:p>
    <w:p w14:paraId="78124B4D">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sz w:val="21"/>
          <w:szCs w:val="21"/>
          <w:highlight w:val="none"/>
        </w:rPr>
      </w:pPr>
      <w:r>
        <w:rPr>
          <w:rFonts w:hint="eastAsia" w:ascii="宋体" w:hAnsi="宋体" w:eastAsia="宋体" w:cstheme="minorBidi"/>
          <w:iCs/>
          <w:color w:val="auto"/>
          <w:sz w:val="21"/>
          <w:szCs w:val="21"/>
          <w:highlight w:val="none"/>
          <w:lang w:val="en-US" w:eastAsia="zh-CN" w:bidi="ar-SA"/>
        </w:rPr>
        <w:t>3.6.</w:t>
      </w:r>
      <w:r>
        <w:rPr>
          <w:rFonts w:hint="eastAsia" w:ascii="宋体" w:hAnsi="宋体" w:eastAsia="宋体"/>
          <w:iCs/>
          <w:color w:val="auto"/>
          <w:sz w:val="21"/>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1A433566">
      <w:pPr>
        <w:pageBreakBefore w:val="0"/>
        <w:kinsoku/>
        <w:wordWrap/>
        <w:topLinePunct w:val="0"/>
        <w:autoSpaceDE/>
        <w:autoSpaceDN/>
        <w:bidi w:val="0"/>
        <w:spacing w:line="400" w:lineRule="exact"/>
        <w:textAlignment w:val="auto"/>
        <w:rPr>
          <w:color w:val="auto"/>
          <w:highlight w:val="none"/>
        </w:rPr>
      </w:pPr>
    </w:p>
    <w:p w14:paraId="34A9D9A7">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1" w:name="_Toc16909"/>
      <w:r>
        <w:rPr>
          <w:rFonts w:hint="eastAsia" w:ascii="宋体" w:hAnsi="宋体" w:eastAsia="宋体"/>
          <w:color w:val="auto"/>
          <w:sz w:val="21"/>
          <w:szCs w:val="21"/>
          <w:highlight w:val="none"/>
        </w:rPr>
        <w:t>4.投标费用</w:t>
      </w:r>
      <w:bookmarkEnd w:id="21"/>
    </w:p>
    <w:p w14:paraId="64461EC4">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4.1.</w:t>
      </w: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14:paraId="60758A4F">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p>
    <w:p w14:paraId="379B5F5B">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2" w:name="_Toc24409"/>
      <w:r>
        <w:rPr>
          <w:rFonts w:hint="eastAsia" w:ascii="宋体" w:hAnsi="宋体" w:eastAsia="宋体"/>
          <w:color w:val="auto"/>
          <w:sz w:val="21"/>
          <w:szCs w:val="21"/>
          <w:highlight w:val="none"/>
        </w:rPr>
        <w:t>5.知识产权</w:t>
      </w:r>
      <w:bookmarkEnd w:id="22"/>
    </w:p>
    <w:p w14:paraId="1F3642D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5.1.</w:t>
      </w: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EBE9FF8">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5.2.</w:t>
      </w:r>
      <w:r>
        <w:rPr>
          <w:rFonts w:hint="eastAsia" w:ascii="宋体" w:hAnsi="宋体" w:eastAsia="宋体"/>
          <w:color w:val="auto"/>
          <w:sz w:val="21"/>
          <w:szCs w:val="21"/>
          <w:highlight w:val="none"/>
        </w:rPr>
        <w:t>采购人享有本项目实施过程中产生的知识成果及知识产权。</w:t>
      </w:r>
    </w:p>
    <w:p w14:paraId="5736BF6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5.3.</w:t>
      </w:r>
      <w:r>
        <w:rPr>
          <w:rFonts w:hint="eastAsia" w:ascii="宋体" w:hAnsi="宋体" w:eastAsia="宋体"/>
          <w:color w:val="auto"/>
          <w:sz w:val="21"/>
          <w:szCs w:val="21"/>
          <w:highlight w:val="none"/>
        </w:rPr>
        <w:t>投标人如</w:t>
      </w:r>
      <w:r>
        <w:rPr>
          <w:rFonts w:hint="eastAsia" w:ascii="宋体" w:hAnsi="宋体" w:eastAsia="宋体"/>
          <w:color w:val="auto"/>
          <w:sz w:val="21"/>
          <w:szCs w:val="21"/>
          <w:highlight w:val="none"/>
          <w:lang w:eastAsia="zh-CN"/>
        </w:rPr>
        <w:t>欲</w:t>
      </w:r>
      <w:r>
        <w:rPr>
          <w:rFonts w:hint="eastAsia" w:ascii="宋体" w:hAnsi="宋体" w:eastAsia="宋体"/>
          <w:color w:val="auto"/>
          <w:sz w:val="21"/>
          <w:szCs w:val="21"/>
          <w:highlight w:val="none"/>
        </w:rPr>
        <w:t>在项目实施过程中采用自有知识成果，需在投标文件中声明，并提供相关知识产权证明文件。使用该知识成果后，投标人需提供开发接口和开发手册等技术文档。</w:t>
      </w:r>
    </w:p>
    <w:p w14:paraId="48751FA4">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5.4.</w:t>
      </w:r>
      <w:r>
        <w:rPr>
          <w:rFonts w:hint="eastAsia" w:ascii="宋体" w:hAnsi="宋体" w:eastAsia="宋体"/>
          <w:color w:val="auto"/>
          <w:sz w:val="21"/>
          <w:szCs w:val="21"/>
          <w:highlight w:val="none"/>
        </w:rPr>
        <w:t>采购货物为计算机办公设备时，投标人提供的产品必须是预装正版操作系统软件的计算机产品。</w:t>
      </w:r>
    </w:p>
    <w:p w14:paraId="4ECD67CA">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5.5.</w:t>
      </w:r>
      <w:r>
        <w:rPr>
          <w:rFonts w:hint="eastAsia" w:ascii="宋体" w:hAnsi="宋体" w:eastAsia="宋体"/>
          <w:color w:val="auto"/>
          <w:sz w:val="21"/>
          <w:szCs w:val="21"/>
          <w:highlight w:val="none"/>
          <w:lang w:eastAsia="zh-CN"/>
        </w:rPr>
        <w:t>投标人提供的服务、货物经认定存在侵权行为的，其投标无效，并上报相关监管部门。</w:t>
      </w:r>
    </w:p>
    <w:p w14:paraId="72D2BBF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14:paraId="526EE509">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eastAsia="zh-CN"/>
        </w:rPr>
      </w:pPr>
      <w:bookmarkStart w:id="23" w:name="_Toc25530"/>
      <w:r>
        <w:rPr>
          <w:rFonts w:hint="eastAsia" w:ascii="宋体" w:hAnsi="宋体" w:eastAsia="宋体"/>
          <w:color w:val="auto"/>
          <w:sz w:val="21"/>
          <w:szCs w:val="21"/>
          <w:highlight w:val="none"/>
        </w:rPr>
        <w:t>6.关于联合体投标</w:t>
      </w:r>
      <w:bookmarkEnd w:id="23"/>
    </w:p>
    <w:p w14:paraId="132348A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6.1.</w:t>
      </w:r>
      <w:r>
        <w:rPr>
          <w:rFonts w:hint="eastAsia" w:ascii="宋体" w:hAnsi="宋体" w:eastAsia="宋体" w:cstheme="minorBidi"/>
          <w:b w:val="0"/>
          <w:bCs w:val="0"/>
          <w:color w:val="auto"/>
          <w:sz w:val="21"/>
          <w:szCs w:val="21"/>
          <w:highlight w:val="none"/>
          <w:lang w:val="en-US" w:eastAsia="zh-CN" w:bidi="ar-SA"/>
        </w:rPr>
        <w:t>联合体投标必须满足以下条款。（除非投标邀请函中另有规定不接受联合体投标）</w:t>
      </w:r>
    </w:p>
    <w:p w14:paraId="098B2DE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6.2.</w:t>
      </w: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14:paraId="64AEED35">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6.3.</w:t>
      </w:r>
      <w:r>
        <w:rPr>
          <w:rFonts w:hint="eastAsia" w:ascii="宋体" w:hAnsi="宋体" w:eastAsia="宋体"/>
          <w:color w:val="auto"/>
          <w:sz w:val="21"/>
          <w:szCs w:val="21"/>
          <w:highlight w:val="none"/>
        </w:rPr>
        <w:t>以联合体形式参与项目的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文件时，应提供所有联合体组成成员的营业执照复印件，并加盖各联合体组成成员的公章。</w:t>
      </w:r>
    </w:p>
    <w:p w14:paraId="2739A61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6.4.</w:t>
      </w:r>
      <w:r>
        <w:rPr>
          <w:rFonts w:hint="eastAsia" w:ascii="宋体" w:hAnsi="宋体" w:eastAsia="宋体"/>
          <w:color w:val="auto"/>
          <w:sz w:val="21"/>
          <w:szCs w:val="21"/>
          <w:highlight w:val="none"/>
        </w:rPr>
        <w:t>联合体各方均应当符合《政府采购法》第二十二条规定的条件。</w:t>
      </w:r>
    </w:p>
    <w:p w14:paraId="4BB682A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6.5.</w:t>
      </w: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6DFD2A">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6.6.</w:t>
      </w: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14:paraId="5B96902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6.7.</w:t>
      </w: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14:paraId="5C2EA327">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6.8.</w:t>
      </w: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14:paraId="48EC1D7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6.9.</w:t>
      </w: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14:paraId="7A274C31">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6.10.</w:t>
      </w:r>
      <w:r>
        <w:rPr>
          <w:rFonts w:hint="eastAsia" w:ascii="宋体" w:hAnsi="宋体" w:eastAsia="宋体"/>
          <w:color w:val="auto"/>
          <w:sz w:val="21"/>
          <w:szCs w:val="21"/>
          <w:highlight w:val="none"/>
          <w:lang w:eastAsia="zh-CN"/>
        </w:rPr>
        <w:t>以</w:t>
      </w:r>
      <w:r>
        <w:rPr>
          <w:rFonts w:hint="eastAsia" w:ascii="宋体" w:hAnsi="宋体" w:eastAsia="宋体"/>
          <w:color w:val="auto"/>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14:paraId="20ADC9E0">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6.11.</w:t>
      </w: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14:paraId="2E3A644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6.12.</w:t>
      </w: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573E3E3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14:paraId="1C2BCFA9">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4" w:name="_Toc24312"/>
      <w:r>
        <w:rPr>
          <w:rFonts w:hint="eastAsia" w:ascii="宋体" w:hAnsi="宋体" w:eastAsia="宋体"/>
          <w:color w:val="auto"/>
          <w:sz w:val="21"/>
          <w:szCs w:val="21"/>
          <w:highlight w:val="none"/>
        </w:rPr>
        <w:t>7.关于分支机构投标</w:t>
      </w:r>
      <w:bookmarkEnd w:id="24"/>
    </w:p>
    <w:p w14:paraId="76470DE8">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bookmarkStart w:id="25" w:name="EB389f116341dd4693875bc7987e7327f3"/>
      <w:r>
        <w:rPr>
          <w:rFonts w:hint="eastAsia" w:ascii="宋体" w:hAnsi="宋体" w:eastAsia="宋体" w:cstheme="minorBidi"/>
          <w:color w:val="auto"/>
          <w:sz w:val="21"/>
          <w:szCs w:val="21"/>
          <w:highlight w:val="none"/>
          <w:lang w:val="en-US" w:eastAsia="zh-CN" w:bidi="ar-SA"/>
        </w:rPr>
        <w:t>7.1.</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5"/>
    </w:p>
    <w:p w14:paraId="06999460">
      <w:pPr>
        <w:pageBreakBefore w:val="0"/>
        <w:kinsoku/>
        <w:topLinePunct w:val="0"/>
        <w:autoSpaceDE/>
        <w:autoSpaceDN/>
        <w:bidi w:val="0"/>
        <w:spacing w:line="360" w:lineRule="auto"/>
        <w:rPr>
          <w:color w:val="auto"/>
          <w:highlight w:val="none"/>
        </w:rPr>
      </w:pPr>
    </w:p>
    <w:p w14:paraId="448D1C8B">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26" w:name="_Toc15504"/>
      <w:r>
        <w:rPr>
          <w:rFonts w:hint="eastAsia" w:ascii="宋体" w:hAnsi="宋体" w:eastAsia="宋体"/>
          <w:color w:val="auto"/>
          <w:highlight w:val="none"/>
        </w:rPr>
        <w:t>招标文件</w:t>
      </w:r>
      <w:bookmarkEnd w:id="26"/>
    </w:p>
    <w:p w14:paraId="59DE4CC1">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7" w:name="_Toc15490"/>
      <w:r>
        <w:rPr>
          <w:rFonts w:hint="eastAsia" w:ascii="宋体" w:hAnsi="宋体" w:eastAsia="宋体"/>
          <w:color w:val="auto"/>
          <w:sz w:val="21"/>
          <w:szCs w:val="21"/>
          <w:highlight w:val="none"/>
        </w:rPr>
        <w:t>8.招标文件的组成</w:t>
      </w:r>
      <w:bookmarkEnd w:id="27"/>
    </w:p>
    <w:p w14:paraId="26E4BE2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14:paraId="752F815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14:paraId="6983072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14:paraId="7E90EFB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14:paraId="48C4F5B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（5）合同文本</w:t>
      </w:r>
      <w:r>
        <w:rPr>
          <w:rFonts w:hint="eastAsia" w:ascii="宋体" w:hAnsi="宋体" w:eastAsia="宋体"/>
          <w:color w:val="auto"/>
          <w:sz w:val="21"/>
          <w:szCs w:val="21"/>
          <w:highlight w:val="none"/>
          <w:lang w:eastAsia="zh-CN"/>
        </w:rPr>
        <w:t>参考格式</w:t>
      </w:r>
      <w:r>
        <w:rPr>
          <w:rFonts w:hint="eastAsia" w:ascii="宋体" w:hAnsi="宋体" w:eastAsia="宋体"/>
          <w:color w:val="auto"/>
          <w:sz w:val="21"/>
          <w:szCs w:val="21"/>
          <w:highlight w:val="none"/>
        </w:rPr>
        <w:t>；</w:t>
      </w:r>
    </w:p>
    <w:p w14:paraId="12A78F8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（6）投标文件</w:t>
      </w:r>
      <w:r>
        <w:rPr>
          <w:rFonts w:hint="eastAsia" w:ascii="宋体" w:hAnsi="宋体" w:eastAsia="宋体"/>
          <w:color w:val="auto"/>
          <w:sz w:val="21"/>
          <w:szCs w:val="21"/>
          <w:highlight w:val="none"/>
          <w:lang w:eastAsia="zh-CN"/>
        </w:rPr>
        <w:t>参考</w:t>
      </w:r>
      <w:r>
        <w:rPr>
          <w:rFonts w:hint="eastAsia" w:ascii="宋体" w:hAnsi="宋体" w:eastAsia="宋体"/>
          <w:color w:val="auto"/>
          <w:sz w:val="21"/>
          <w:szCs w:val="21"/>
          <w:highlight w:val="none"/>
        </w:rPr>
        <w:t>格式；</w:t>
      </w:r>
    </w:p>
    <w:p w14:paraId="1C564F8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14:paraId="637DFF82">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14:paraId="322833D8">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28" w:name="_Toc7789"/>
      <w:r>
        <w:rPr>
          <w:rFonts w:hint="eastAsia" w:ascii="宋体" w:hAnsi="宋体" w:eastAsia="宋体"/>
          <w:color w:val="auto"/>
          <w:sz w:val="21"/>
          <w:szCs w:val="21"/>
          <w:highlight w:val="none"/>
        </w:rPr>
        <w:t>9.招标文件的澄清或修改</w:t>
      </w:r>
      <w:bookmarkEnd w:id="28"/>
    </w:p>
    <w:p w14:paraId="46F0D4B1">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9.1.</w:t>
      </w: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14:paraId="2AD09760">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9.2.</w:t>
      </w:r>
      <w:r>
        <w:rPr>
          <w:rFonts w:hint="eastAsia" w:ascii="宋体" w:hAnsi="宋体" w:eastAsia="宋体"/>
          <w:color w:val="auto"/>
          <w:sz w:val="21"/>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76EE659">
      <w:pPr>
        <w:pStyle w:val="7"/>
        <w:ind w:left="0" w:leftChars="0" w:firstLine="0" w:firstLineChars="0"/>
        <w:rPr>
          <w:color w:val="auto"/>
          <w:highlight w:val="none"/>
        </w:rPr>
      </w:pPr>
    </w:p>
    <w:p w14:paraId="57ED00C3">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29" w:name="_Toc3992"/>
      <w:r>
        <w:rPr>
          <w:rFonts w:hint="eastAsia" w:ascii="宋体" w:hAnsi="宋体" w:eastAsia="宋体"/>
          <w:color w:val="auto"/>
          <w:highlight w:val="none"/>
        </w:rPr>
        <w:t>投标文件的编制</w:t>
      </w:r>
      <w:bookmarkEnd w:id="29"/>
    </w:p>
    <w:p w14:paraId="29F4999B">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0" w:name="_Toc708"/>
      <w:r>
        <w:rPr>
          <w:rFonts w:hint="eastAsia" w:ascii="宋体" w:hAnsi="宋体" w:eastAsia="宋体"/>
          <w:color w:val="auto"/>
          <w:sz w:val="21"/>
          <w:szCs w:val="21"/>
          <w:highlight w:val="none"/>
        </w:rPr>
        <w:t>10.投标文件的语言及度量衡单位</w:t>
      </w:r>
      <w:bookmarkEnd w:id="30"/>
    </w:p>
    <w:p w14:paraId="545DA3F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10.1.</w:t>
      </w: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7D621E0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10.2.</w:t>
      </w: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14:paraId="0E485A2A">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14:paraId="76291C48">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1" w:name="_Toc382049103"/>
      <w:bookmarkStart w:id="32" w:name="_Toc303084256"/>
      <w:bookmarkStart w:id="33" w:name="_Toc28866"/>
      <w:bookmarkStart w:id="34" w:name="_Toc307934854"/>
      <w:bookmarkStart w:id="35" w:name="_Toc29420"/>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1"/>
      <w:bookmarkEnd w:id="32"/>
      <w:bookmarkEnd w:id="33"/>
      <w:bookmarkEnd w:id="34"/>
      <w:bookmarkEnd w:id="35"/>
    </w:p>
    <w:p w14:paraId="01F3DE0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11.1.</w:t>
      </w:r>
      <w:r>
        <w:rPr>
          <w:rFonts w:hint="eastAsia" w:ascii="宋体" w:hAnsi="宋体" w:eastAsia="宋体"/>
          <w:color w:val="auto"/>
          <w:sz w:val="21"/>
          <w:szCs w:val="21"/>
          <w:highlight w:val="none"/>
        </w:rPr>
        <w:t>包括但不限于招标文件附件格式中要求提供的表格。</w:t>
      </w:r>
    </w:p>
    <w:p w14:paraId="0EF3DC4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color w:val="auto"/>
          <w:highlight w:val="none"/>
        </w:rPr>
      </w:pPr>
      <w:r>
        <w:rPr>
          <w:rFonts w:hint="eastAsia" w:ascii="宋体" w:hAnsi="宋体" w:eastAsia="宋体" w:cstheme="minorBidi"/>
          <w:color w:val="auto"/>
          <w:sz w:val="22"/>
          <w:szCs w:val="22"/>
          <w:highlight w:val="none"/>
          <w:lang w:val="en-US" w:eastAsia="zh-CN" w:bidi="ar-SA"/>
        </w:rPr>
        <w:t>11.2.</w:t>
      </w: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上述文件须按顺序装订成册，并编制投标文件目录。除上述文件资料外投标人还须按投标人须知的要求制作“开标文件”。“开标文件”作为投标文件的一部分，须单独密封。</w:t>
      </w:r>
    </w:p>
    <w:p w14:paraId="5686B9FB">
      <w:pPr>
        <w:keepNext w:val="0"/>
        <w:keepLines w:val="0"/>
        <w:pageBreakBefore w:val="0"/>
        <w:widowControl/>
        <w:kinsoku/>
        <w:wordWrap/>
        <w:overflowPunct/>
        <w:topLinePunct w:val="0"/>
        <w:autoSpaceDE/>
        <w:autoSpaceDN/>
        <w:bidi w:val="0"/>
        <w:adjustRightInd w:val="0"/>
        <w:snapToGrid w:val="0"/>
        <w:spacing w:after="0" w:line="400" w:lineRule="exact"/>
        <w:textAlignment w:val="auto"/>
        <w:rPr>
          <w:color w:val="auto"/>
          <w:highlight w:val="none"/>
        </w:rPr>
      </w:pPr>
    </w:p>
    <w:p w14:paraId="2F3CCAC6">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6" w:name="_Toc11356"/>
      <w:r>
        <w:rPr>
          <w:rFonts w:hint="eastAsia" w:ascii="宋体" w:hAnsi="宋体" w:eastAsia="宋体"/>
          <w:color w:val="auto"/>
          <w:sz w:val="21"/>
          <w:szCs w:val="21"/>
          <w:highlight w:val="none"/>
        </w:rPr>
        <w:t>12.投标文件编制</w:t>
      </w:r>
      <w:bookmarkEnd w:id="36"/>
    </w:p>
    <w:p w14:paraId="4995690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bookmarkStart w:id="37" w:name="_Toc303084258"/>
      <w:r>
        <w:rPr>
          <w:rFonts w:hint="eastAsia" w:ascii="宋体" w:hAnsi="宋体" w:eastAsia="宋体" w:cstheme="minorBidi"/>
          <w:color w:val="auto"/>
          <w:sz w:val="21"/>
          <w:szCs w:val="21"/>
          <w:highlight w:val="none"/>
          <w:lang w:val="en-US" w:eastAsia="zh-CN" w:bidi="ar-SA"/>
        </w:rPr>
        <w:t>12.1.</w:t>
      </w:r>
      <w:r>
        <w:rPr>
          <w:rFonts w:hint="eastAsia" w:ascii="宋体" w:hAnsi="宋体" w:eastAsia="宋体"/>
          <w:color w:val="auto"/>
          <w:sz w:val="21"/>
          <w:szCs w:val="21"/>
          <w:highlight w:val="none"/>
        </w:rPr>
        <w:t>投标人应按招标文件的规定以及</w:t>
      </w:r>
      <w:r>
        <w:rPr>
          <w:rFonts w:hint="eastAsia" w:ascii="宋体" w:hAnsi="宋体" w:eastAsia="宋体"/>
          <w:color w:val="auto"/>
          <w:sz w:val="21"/>
          <w:szCs w:val="21"/>
          <w:highlight w:val="none"/>
          <w:lang w:eastAsia="zh-CN"/>
        </w:rPr>
        <w:t>“第六部分</w:t>
      </w:r>
      <w:r>
        <w:rPr>
          <w:rFonts w:hint="eastAsia" w:ascii="宋体" w:hAnsi="宋体" w:eastAsia="宋体"/>
          <w:color w:val="auto"/>
          <w:sz w:val="21"/>
          <w:szCs w:val="21"/>
          <w:highlight w:val="none"/>
          <w:lang w:val="en-US" w:eastAsia="zh-CN"/>
        </w:rPr>
        <w:t xml:space="preserve"> 附件-投标文件格式</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14:paraId="403A411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12.2.</w:t>
      </w:r>
      <w:r>
        <w:rPr>
          <w:rFonts w:hint="eastAsia" w:ascii="宋体" w:hAnsi="宋体" w:eastAsia="宋体"/>
          <w:color w:val="auto"/>
          <w:sz w:val="21"/>
          <w:szCs w:val="21"/>
          <w:highlight w:val="none"/>
        </w:rPr>
        <w:t>因投标文件编制存在歧义对投标人产生负面影响的，投标人自行承担后果。</w:t>
      </w:r>
    </w:p>
    <w:p w14:paraId="343264E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12.3.</w:t>
      </w: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14:paraId="15A14AE0">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12.4.</w:t>
      </w:r>
      <w:r>
        <w:rPr>
          <w:rFonts w:hint="eastAsia" w:ascii="宋体" w:hAnsi="宋体" w:eastAsia="宋体"/>
          <w:color w:val="auto"/>
          <w:sz w:val="21"/>
          <w:szCs w:val="21"/>
          <w:highlight w:val="none"/>
        </w:rPr>
        <w:t>有下列情形之一的，视为投标人串通投标，其投标无效：</w:t>
      </w:r>
    </w:p>
    <w:bookmarkEnd w:id="37"/>
    <w:p w14:paraId="3E72B9A2">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14:paraId="4F5552C0">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14:paraId="7F181484">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14:paraId="58C199BB">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14:paraId="71613CB7">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14:paraId="5AB60CCA">
      <w:pPr>
        <w:pageBreakBefore w:val="0"/>
        <w:widowControl w:val="0"/>
        <w:kinsoku/>
        <w:wordWrap/>
        <w:topLinePunct w:val="0"/>
        <w:autoSpaceDE/>
        <w:autoSpaceDN/>
        <w:bidi w:val="0"/>
        <w:adjustRightInd/>
        <w:snapToGrid/>
        <w:spacing w:after="0" w:line="40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14:paraId="704491D5">
      <w:pPr>
        <w:pageBreakBefore w:val="0"/>
        <w:widowControl w:val="0"/>
        <w:kinsoku/>
        <w:wordWrap/>
        <w:topLinePunct w:val="0"/>
        <w:autoSpaceDE/>
        <w:autoSpaceDN/>
        <w:bidi w:val="0"/>
        <w:adjustRightInd/>
        <w:snapToGrid/>
        <w:spacing w:after="0" w:line="400" w:lineRule="exact"/>
        <w:jc w:val="both"/>
        <w:textAlignment w:val="auto"/>
        <w:rPr>
          <w:rFonts w:hint="eastAsia" w:eastAsia="微软雅黑"/>
          <w:color w:val="auto"/>
          <w:highlight w:val="none"/>
          <w:lang w:val="en-US" w:eastAsia="zh-CN"/>
        </w:rPr>
      </w:pPr>
      <w:r>
        <w:rPr>
          <w:rFonts w:hint="eastAsia"/>
          <w:color w:val="auto"/>
          <w:highlight w:val="none"/>
          <w:lang w:val="en-US" w:eastAsia="zh-CN"/>
        </w:rPr>
        <w:t xml:space="preserve"> </w:t>
      </w:r>
    </w:p>
    <w:p w14:paraId="52343C11">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8" w:name="_Toc28034"/>
      <w:r>
        <w:rPr>
          <w:rFonts w:hint="eastAsia" w:ascii="宋体" w:hAnsi="宋体" w:eastAsia="宋体"/>
          <w:color w:val="auto"/>
          <w:sz w:val="21"/>
          <w:szCs w:val="21"/>
          <w:highlight w:val="none"/>
        </w:rPr>
        <w:t>13.投标报价说明</w:t>
      </w:r>
      <w:bookmarkEnd w:id="38"/>
    </w:p>
    <w:p w14:paraId="794AF1A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13.1.</w:t>
      </w:r>
      <w:r>
        <w:rPr>
          <w:rFonts w:hint="eastAsia" w:ascii="宋体" w:hAnsi="宋体" w:eastAsia="宋体"/>
          <w:color w:val="auto"/>
          <w:sz w:val="21"/>
          <w:szCs w:val="21"/>
          <w:highlight w:val="none"/>
        </w:rPr>
        <w:t>本次招标，投标人应按用户需求中的要求进行投标报价，少报无效。</w:t>
      </w:r>
    </w:p>
    <w:p w14:paraId="7D015D3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13.2.</w:t>
      </w:r>
      <w:r>
        <w:rPr>
          <w:rFonts w:hint="eastAsia" w:ascii="宋体" w:hAnsi="宋体" w:eastAsia="宋体"/>
          <w:color w:val="auto"/>
          <w:sz w:val="21"/>
          <w:szCs w:val="21"/>
          <w:highlight w:val="none"/>
        </w:rPr>
        <w:t>投标人所提供的货物或服务均以人民币（或相关费率）报价。</w:t>
      </w:r>
    </w:p>
    <w:p w14:paraId="7BBA278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13.3.</w:t>
      </w: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14:paraId="031D2F48">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13.4.</w:t>
      </w: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EA357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13.5.</w:t>
      </w:r>
      <w:r>
        <w:rPr>
          <w:rFonts w:hint="eastAsia" w:ascii="宋体" w:hAnsi="宋体" w:eastAsia="宋体"/>
          <w:color w:val="auto"/>
          <w:sz w:val="21"/>
          <w:szCs w:val="21"/>
          <w:highlight w:val="none"/>
        </w:rPr>
        <w:t>中标后开出的所有发票必须与中标人的名称一致。</w:t>
      </w:r>
    </w:p>
    <w:p w14:paraId="5796AF2F">
      <w:pPr>
        <w:pageBreakBefore w:val="0"/>
        <w:kinsoku/>
        <w:wordWrap/>
        <w:topLinePunct w:val="0"/>
        <w:autoSpaceDE/>
        <w:autoSpaceDN/>
        <w:bidi w:val="0"/>
        <w:spacing w:line="400" w:lineRule="exact"/>
        <w:textAlignment w:val="auto"/>
        <w:rPr>
          <w:color w:val="auto"/>
          <w:highlight w:val="none"/>
        </w:rPr>
      </w:pPr>
    </w:p>
    <w:p w14:paraId="0F70A10C">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39" w:name="_Toc34"/>
      <w:r>
        <w:rPr>
          <w:rFonts w:hint="eastAsia" w:ascii="宋体" w:hAnsi="宋体" w:eastAsia="宋体"/>
          <w:color w:val="auto"/>
          <w:sz w:val="21"/>
          <w:szCs w:val="21"/>
          <w:highlight w:val="none"/>
        </w:rPr>
        <w:t>14.投标人所提供的服务或货物的证明文件</w:t>
      </w:r>
      <w:bookmarkEnd w:id="39"/>
    </w:p>
    <w:p w14:paraId="07B9349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bookmarkStart w:id="40" w:name="_Hlt107925668"/>
      <w:bookmarkEnd w:id="40"/>
      <w:bookmarkStart w:id="41" w:name="_Hlt107925638"/>
      <w:bookmarkEnd w:id="41"/>
      <w:r>
        <w:rPr>
          <w:rFonts w:hint="eastAsia" w:ascii="宋体" w:hAnsi="宋体" w:eastAsia="宋体" w:cstheme="minorBidi"/>
          <w:color w:val="auto"/>
          <w:sz w:val="21"/>
          <w:szCs w:val="21"/>
          <w:highlight w:val="none"/>
          <w:lang w:val="en-US" w:eastAsia="zh-CN" w:bidi="ar-SA"/>
        </w:rPr>
        <w:t>14.1.</w:t>
      </w:r>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14:paraId="2A6BDB96">
      <w:pPr>
        <w:pStyle w:val="26"/>
        <w:pageBreakBefore w:val="0"/>
        <w:widowControl w:val="0"/>
        <w:kinsoku/>
        <w:wordWrap/>
        <w:topLinePunct w:val="0"/>
        <w:autoSpaceDE/>
        <w:autoSpaceDN/>
        <w:bidi w:val="0"/>
        <w:adjustRightInd/>
        <w:snapToGrid/>
        <w:spacing w:after="0" w:line="400" w:lineRule="exact"/>
        <w:ind w:left="425" w:firstLine="0" w:firstLineChars="0"/>
        <w:jc w:val="both"/>
        <w:textAlignment w:val="auto"/>
        <w:rPr>
          <w:color w:val="auto"/>
          <w:highlight w:val="none"/>
        </w:rPr>
      </w:pPr>
    </w:p>
    <w:p w14:paraId="6CA006E6">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42" w:name="_Toc10940"/>
      <w:r>
        <w:rPr>
          <w:rFonts w:hint="eastAsia" w:ascii="宋体" w:hAnsi="宋体" w:eastAsia="宋体"/>
          <w:color w:val="auto"/>
          <w:sz w:val="21"/>
          <w:szCs w:val="21"/>
          <w:highlight w:val="none"/>
        </w:rPr>
        <w:t>15.★投标有效期</w:t>
      </w:r>
      <w:bookmarkEnd w:id="42"/>
    </w:p>
    <w:p w14:paraId="7A30835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15.1.</w:t>
      </w:r>
      <w:r>
        <w:rPr>
          <w:rFonts w:hint="eastAsia" w:ascii="宋体" w:hAnsi="宋体" w:eastAsia="宋体"/>
          <w:color w:val="auto"/>
          <w:sz w:val="21"/>
          <w:szCs w:val="21"/>
          <w:highlight w:val="none"/>
        </w:rPr>
        <w:t>投标文件应根据投标人须知的规定在投标截止日后的90天内保持有效。</w:t>
      </w:r>
    </w:p>
    <w:p w14:paraId="6DE03D23">
      <w:pPr>
        <w:pageBreakBefore w:val="0"/>
        <w:widowControl w:val="0"/>
        <w:kinsoku/>
        <w:wordWrap/>
        <w:topLinePunct w:val="0"/>
        <w:autoSpaceDE/>
        <w:autoSpaceDN/>
        <w:bidi w:val="0"/>
        <w:adjustRightInd/>
        <w:snapToGrid/>
        <w:spacing w:after="0" w:line="400" w:lineRule="exact"/>
        <w:ind w:left="567"/>
        <w:jc w:val="both"/>
        <w:textAlignment w:val="auto"/>
        <w:rPr>
          <w:color w:val="auto"/>
          <w:highlight w:val="none"/>
        </w:rPr>
      </w:pPr>
    </w:p>
    <w:p w14:paraId="590A5D19">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eastAsia="zh-CN"/>
        </w:rPr>
      </w:pPr>
      <w:bookmarkStart w:id="43" w:name="_Toc5483"/>
      <w:r>
        <w:rPr>
          <w:rFonts w:hint="eastAsia" w:ascii="宋体" w:hAnsi="宋体" w:eastAsia="宋体"/>
          <w:color w:val="auto"/>
          <w:sz w:val="21"/>
          <w:szCs w:val="21"/>
          <w:highlight w:val="none"/>
        </w:rPr>
        <w:t>16.投标保证金</w:t>
      </w:r>
      <w:bookmarkEnd w:id="43"/>
      <w:r>
        <w:rPr>
          <w:rFonts w:hint="eastAsia" w:ascii="宋体" w:hAnsi="宋体" w:eastAsia="宋体"/>
          <w:color w:val="auto"/>
          <w:sz w:val="21"/>
          <w:szCs w:val="21"/>
          <w:highlight w:val="none"/>
          <w:lang w:eastAsia="zh-CN"/>
        </w:rPr>
        <w:t>（本项目不收取）</w:t>
      </w:r>
    </w:p>
    <w:p w14:paraId="3381B8D0">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bookmarkStart w:id="44" w:name="_Ref179619405"/>
      <w:r>
        <w:rPr>
          <w:rFonts w:hint="eastAsia" w:ascii="宋体" w:hAnsi="宋体" w:eastAsia="宋体" w:cstheme="minorBidi"/>
          <w:color w:val="auto"/>
          <w:sz w:val="21"/>
          <w:szCs w:val="21"/>
          <w:highlight w:val="none"/>
          <w:lang w:val="en-US" w:eastAsia="zh-CN" w:bidi="ar-SA"/>
        </w:rPr>
        <w:t>16.1.</w:t>
      </w: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4"/>
    </w:p>
    <w:p w14:paraId="228646C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16.2.</w:t>
      </w:r>
      <w:r>
        <w:rPr>
          <w:rFonts w:hint="eastAsia" w:ascii="宋体" w:hAnsi="宋体" w:eastAsia="宋体"/>
          <w:color w:val="auto"/>
          <w:sz w:val="21"/>
          <w:szCs w:val="21"/>
          <w:highlight w:val="none"/>
        </w:rPr>
        <w:t>投标保证金金额与招标文件要求金额保持一致（详见投标资料表）。</w:t>
      </w:r>
    </w:p>
    <w:p w14:paraId="7EEB915C">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16.3.</w:t>
      </w:r>
      <w:r>
        <w:rPr>
          <w:rFonts w:hint="eastAsia" w:ascii="宋体" w:hAnsi="宋体" w:eastAsia="宋体"/>
          <w:color w:val="auto"/>
          <w:sz w:val="21"/>
          <w:szCs w:val="21"/>
          <w:highlight w:val="none"/>
        </w:rPr>
        <w:t>投标保证金有效期与投标有效期保持一致。</w:t>
      </w:r>
    </w:p>
    <w:p w14:paraId="1D9DC65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16.4.</w:t>
      </w:r>
      <w:r>
        <w:rPr>
          <w:rFonts w:hint="eastAsia" w:ascii="宋体" w:hAnsi="宋体" w:eastAsia="宋体"/>
          <w:color w:val="auto"/>
          <w:sz w:val="21"/>
          <w:szCs w:val="21"/>
          <w:highlight w:val="none"/>
        </w:rPr>
        <w:t>投标人应一次性缴交招标文件规定数额的投标保证金，投标人与交款人名称必须一致</w:t>
      </w:r>
      <w:r>
        <w:rPr>
          <w:rFonts w:hint="eastAsia" w:ascii="宋体" w:hAnsi="宋体" w:eastAsia="宋体"/>
          <w:color w:val="auto"/>
          <w:sz w:val="21"/>
          <w:szCs w:val="21"/>
          <w:highlight w:val="none"/>
          <w:lang w:eastAsia="zh-CN"/>
        </w:rPr>
        <w:t>（分公司投标的，其保证金可由上级公司缴纳并提供加盖公章的相关证明）</w:t>
      </w:r>
      <w:r>
        <w:rPr>
          <w:rFonts w:hint="eastAsia" w:ascii="宋体" w:hAnsi="宋体" w:eastAsia="宋体"/>
          <w:color w:val="auto"/>
          <w:sz w:val="21"/>
          <w:szCs w:val="21"/>
          <w:highlight w:val="none"/>
        </w:rPr>
        <w:t>，非投标人缴纳的投标保证金无效。</w:t>
      </w:r>
    </w:p>
    <w:p w14:paraId="11983FB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16.5.</w:t>
      </w:r>
      <w:r>
        <w:rPr>
          <w:rFonts w:hint="eastAsia" w:ascii="宋体" w:hAnsi="宋体" w:eastAsia="宋体"/>
          <w:color w:val="auto"/>
          <w:sz w:val="21"/>
          <w:szCs w:val="21"/>
          <w:highlight w:val="none"/>
        </w:rPr>
        <w:t>采用银行转账、电汇方式提交的,付至采购代理机构指定账户上。 (详见投标人资料表)</w:t>
      </w:r>
    </w:p>
    <w:p w14:paraId="5F4A506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16.6.</w:t>
      </w: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14:paraId="24BE067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16.7.</w:t>
      </w:r>
      <w:r>
        <w:rPr>
          <w:rFonts w:hint="eastAsia" w:ascii="宋体" w:hAnsi="宋体" w:eastAsia="宋体"/>
          <w:color w:val="auto"/>
          <w:sz w:val="21"/>
          <w:szCs w:val="21"/>
          <w:highlight w:val="none"/>
        </w:rPr>
        <w:t>采用《政府采购投标担保函》提交的，应符合下列规定：</w:t>
      </w:r>
    </w:p>
    <w:p w14:paraId="35F60DCB">
      <w:pPr>
        <w:pageBreakBefore w:val="0"/>
        <w:kinsoku/>
        <w:wordWrap/>
        <w:topLinePunct w:val="0"/>
        <w:autoSpaceDE/>
        <w:autoSpaceDN/>
        <w:bidi w:val="0"/>
        <w:spacing w:after="0" w:line="400" w:lineRule="exact"/>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14:paraId="270E378F">
      <w:pPr>
        <w:pageBreakBefore w:val="0"/>
        <w:kinsoku/>
        <w:wordWrap/>
        <w:topLinePunct w:val="0"/>
        <w:autoSpaceDE/>
        <w:autoSpaceDN/>
        <w:bidi w:val="0"/>
        <w:spacing w:after="0" w:line="400" w:lineRule="exact"/>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14:paraId="357A526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16.8.</w:t>
      </w:r>
      <w:r>
        <w:rPr>
          <w:rFonts w:hint="eastAsia" w:ascii="宋体" w:hAnsi="宋体" w:eastAsia="宋体"/>
          <w:color w:val="auto"/>
          <w:sz w:val="21"/>
          <w:szCs w:val="21"/>
          <w:highlight w:val="none"/>
        </w:rPr>
        <w:t>保证金不接受现金方式（包括以存现方式）提交，未按要求提交投标保证金的将导致废标。</w:t>
      </w:r>
    </w:p>
    <w:p w14:paraId="5E11C28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16.9.</w:t>
      </w: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14:paraId="1F7A94CC">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16.10.</w:t>
      </w: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14:paraId="227CC549">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bCs/>
          <w:color w:val="auto"/>
          <w:sz w:val="21"/>
          <w:szCs w:val="21"/>
          <w:highlight w:val="none"/>
        </w:rPr>
      </w:pPr>
      <w:r>
        <w:rPr>
          <w:rFonts w:hint="eastAsia" w:ascii="宋体" w:hAnsi="宋体" w:eastAsia="宋体" w:cstheme="minorBidi"/>
          <w:b/>
          <w:bCs/>
          <w:color w:val="auto"/>
          <w:sz w:val="21"/>
          <w:szCs w:val="21"/>
          <w:highlight w:val="none"/>
          <w:lang w:val="en-US" w:eastAsia="zh-CN" w:bidi="ar-SA"/>
        </w:rPr>
        <w:t>16.11.</w:t>
      </w:r>
      <w:r>
        <w:rPr>
          <w:rFonts w:hint="eastAsia" w:ascii="宋体" w:hAnsi="宋体" w:eastAsia="宋体"/>
          <w:b/>
          <w:bCs/>
          <w:color w:val="auto"/>
          <w:sz w:val="21"/>
          <w:szCs w:val="21"/>
          <w:highlight w:val="none"/>
        </w:rPr>
        <w:t>有下列情形之一的，投标保证金将不予退还：</w:t>
      </w:r>
    </w:p>
    <w:p w14:paraId="5594A93B">
      <w:pPr>
        <w:pageBreakBefore w:val="0"/>
        <w:kinsoku/>
        <w:wordWrap/>
        <w:topLinePunct w:val="0"/>
        <w:autoSpaceDE/>
        <w:autoSpaceDN/>
        <w:bidi w:val="0"/>
        <w:spacing w:after="0" w:line="400" w:lineRule="exact"/>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①投标人在招标文件中规定的投标有效期内撤销其投标。</w:t>
      </w:r>
    </w:p>
    <w:p w14:paraId="248F191A">
      <w:pPr>
        <w:pageBreakBefore w:val="0"/>
        <w:kinsoku/>
        <w:wordWrap/>
        <w:topLinePunct w:val="0"/>
        <w:autoSpaceDE/>
        <w:autoSpaceDN/>
        <w:bidi w:val="0"/>
        <w:spacing w:after="0" w:line="400" w:lineRule="exact"/>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②法律法规规定不予退还投标保证金的其它情形。</w:t>
      </w:r>
    </w:p>
    <w:p w14:paraId="4688D79C">
      <w:pPr>
        <w:pStyle w:val="7"/>
        <w:rPr>
          <w:rFonts w:hint="eastAsia"/>
          <w:color w:val="auto"/>
          <w:highlight w:val="none"/>
        </w:rPr>
      </w:pPr>
    </w:p>
    <w:p w14:paraId="31E90987">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45" w:name="_Toc8216"/>
      <w:r>
        <w:rPr>
          <w:rFonts w:hint="eastAsia" w:ascii="宋体" w:hAnsi="宋体" w:eastAsia="宋体"/>
          <w:color w:val="auto"/>
          <w:highlight w:val="none"/>
        </w:rPr>
        <w:t>投标文件的递交</w:t>
      </w:r>
      <w:bookmarkEnd w:id="45"/>
    </w:p>
    <w:p w14:paraId="49F54DCA">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46" w:name="_Toc303084264"/>
      <w:bookmarkStart w:id="47" w:name="_Toc382049111"/>
      <w:bookmarkStart w:id="48" w:name="_Toc16724"/>
      <w:bookmarkStart w:id="49"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6"/>
      <w:bookmarkEnd w:id="47"/>
      <w:bookmarkEnd w:id="48"/>
      <w:bookmarkEnd w:id="49"/>
    </w:p>
    <w:p w14:paraId="7084E29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17.1.</w:t>
      </w:r>
      <w:r>
        <w:rPr>
          <w:rFonts w:hint="eastAsia" w:ascii="宋体" w:hAnsi="宋体" w:eastAsia="宋体"/>
          <w:color w:val="auto"/>
          <w:sz w:val="21"/>
          <w:szCs w:val="21"/>
          <w:highlight w:val="none"/>
          <w:lang w:eastAsia="zh-CN"/>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14:paraId="2EEFAD7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17.2.</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14:paraId="3A98A35A">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17.3.</w:t>
      </w: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联合体投标文件的【正本】及【副本】的封面及骑缝均须加盖所有联合体组成成员的公章。（文件每页盖章等同于盖骑缝章）如联合体协议中有明确分工说明除外</w:t>
      </w:r>
      <w:r>
        <w:rPr>
          <w:rFonts w:hint="eastAsia" w:ascii="宋体" w:hAnsi="宋体" w:eastAsia="宋体"/>
          <w:color w:val="auto"/>
          <w:sz w:val="21"/>
          <w:szCs w:val="21"/>
          <w:highlight w:val="none"/>
          <w:lang w:eastAsia="zh-CN"/>
        </w:rPr>
        <w:t>。</w:t>
      </w:r>
    </w:p>
    <w:p w14:paraId="396C0AC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17.4.</w:t>
      </w:r>
      <w:r>
        <w:rPr>
          <w:rFonts w:hint="eastAsia" w:ascii="宋体" w:hAnsi="宋体" w:eastAsia="宋体"/>
          <w:color w:val="auto"/>
          <w:sz w:val="21"/>
          <w:szCs w:val="21"/>
          <w:highlight w:val="none"/>
          <w:lang w:eastAsia="zh-CN"/>
        </w:rPr>
        <w:t>建议</w:t>
      </w:r>
      <w:r>
        <w:rPr>
          <w:rFonts w:hint="eastAsia" w:ascii="宋体" w:hAnsi="宋体" w:eastAsia="宋体"/>
          <w:color w:val="auto"/>
          <w:sz w:val="21"/>
          <w:szCs w:val="21"/>
          <w:highlight w:val="none"/>
        </w:rPr>
        <w:t>投标人将投标文件正本和所有的副本分开密封装在单独的信封中，且在信封上标明“正本”“副本”字样。然后再将所有信封封装在一个外层信封中</w:t>
      </w:r>
      <w:r>
        <w:rPr>
          <w:rFonts w:hint="eastAsia" w:ascii="宋体" w:hAnsi="宋体" w:eastAsia="宋体"/>
          <w:color w:val="auto"/>
          <w:sz w:val="21"/>
          <w:szCs w:val="21"/>
          <w:highlight w:val="none"/>
          <w:lang w:eastAsia="zh-CN"/>
        </w:rPr>
        <w:t>（“开标文件”除外）</w:t>
      </w:r>
      <w:r>
        <w:rPr>
          <w:rFonts w:hint="eastAsia" w:ascii="宋体" w:hAnsi="宋体" w:eastAsia="宋体"/>
          <w:color w:val="auto"/>
          <w:sz w:val="21"/>
          <w:szCs w:val="21"/>
          <w:highlight w:val="none"/>
        </w:rPr>
        <w:t>。电子文件与正本密封包装，随正本提交。</w:t>
      </w:r>
    </w:p>
    <w:p w14:paraId="61D14044">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17.5.</w:t>
      </w: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lang w:eastAsia="zh-CN"/>
        </w:rPr>
        <w:t>（须含盖章版PDF投标文件和WORD版投标文件各一版，文字采用WORD文档，计算表格采用 EXCEL文档）</w:t>
      </w:r>
      <w:r>
        <w:rPr>
          <w:rFonts w:hint="eastAsia" w:ascii="宋体" w:hAnsi="宋体" w:eastAsia="宋体"/>
          <w:color w:val="auto"/>
          <w:sz w:val="21"/>
          <w:szCs w:val="21"/>
          <w:highlight w:val="none"/>
        </w:rPr>
        <w:t>，并注明投标人名称及项目名称、采购项目编号，随投标文件一同密封提交。</w:t>
      </w:r>
    </w:p>
    <w:p w14:paraId="420D7D4E">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17.6.</w:t>
      </w: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14:paraId="6CD0655E">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17.7.</w:t>
      </w:r>
      <w:r>
        <w:rPr>
          <w:rFonts w:hint="eastAsia" w:ascii="宋体" w:hAnsi="宋体" w:eastAsia="宋体"/>
          <w:color w:val="auto"/>
          <w:sz w:val="21"/>
          <w:szCs w:val="21"/>
          <w:highlight w:val="none"/>
        </w:rPr>
        <w:t>投标人应将开标一览表、法人代表证明书、法定代表人授权书（法人投标无需提交授权书）单独密封提交，并在信封上标明“开标文件”字样。“开标文件”份数及签章等要求与投标文件正本相同（1份）。</w:t>
      </w:r>
    </w:p>
    <w:p w14:paraId="18F349F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17.8.</w:t>
      </w:r>
      <w:r>
        <w:rPr>
          <w:rFonts w:hint="eastAsia" w:ascii="宋体" w:hAnsi="宋体" w:eastAsia="宋体"/>
          <w:color w:val="auto"/>
          <w:sz w:val="21"/>
          <w:szCs w:val="21"/>
          <w:highlight w:val="none"/>
          <w:lang w:eastAsia="zh-CN"/>
        </w:rPr>
        <w:t>供应商未提交</w:t>
      </w:r>
      <w:r>
        <w:rPr>
          <w:rFonts w:hint="eastAsia" w:ascii="宋体" w:hAnsi="宋体" w:eastAsia="宋体"/>
          <w:color w:val="auto"/>
          <w:sz w:val="21"/>
          <w:szCs w:val="21"/>
          <w:highlight w:val="none"/>
        </w:rPr>
        <w:t>“开标文件”</w:t>
      </w:r>
      <w:r>
        <w:rPr>
          <w:rFonts w:hint="eastAsia" w:ascii="宋体" w:hAnsi="宋体" w:eastAsia="宋体"/>
          <w:color w:val="auto"/>
          <w:sz w:val="21"/>
          <w:szCs w:val="21"/>
          <w:highlight w:val="none"/>
          <w:lang w:eastAsia="zh-CN"/>
        </w:rPr>
        <w:t>或</w:t>
      </w:r>
      <w:r>
        <w:rPr>
          <w:rFonts w:hint="eastAsia" w:ascii="宋体" w:hAnsi="宋体" w:eastAsia="宋体"/>
          <w:color w:val="auto"/>
          <w:sz w:val="21"/>
          <w:szCs w:val="21"/>
          <w:highlight w:val="none"/>
        </w:rPr>
        <w:t>“开标文件”</w:t>
      </w:r>
      <w:r>
        <w:rPr>
          <w:rFonts w:hint="eastAsia" w:ascii="宋体" w:hAnsi="宋体" w:eastAsia="宋体"/>
          <w:color w:val="auto"/>
          <w:sz w:val="21"/>
          <w:szCs w:val="21"/>
          <w:highlight w:val="none"/>
          <w:lang w:eastAsia="zh-CN"/>
        </w:rPr>
        <w:t>中无“开标一览表”的，报价以投标文件正本为准。</w:t>
      </w:r>
    </w:p>
    <w:p w14:paraId="0ADC288C">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17.9.</w:t>
      </w:r>
      <w:r>
        <w:rPr>
          <w:rFonts w:hint="eastAsia" w:ascii="宋体" w:hAnsi="宋体" w:eastAsia="宋体"/>
          <w:color w:val="auto"/>
          <w:sz w:val="21"/>
          <w:szCs w:val="21"/>
          <w:highlight w:val="none"/>
        </w:rPr>
        <w:t xml:space="preserve">所有的信封均应注明： </w:t>
      </w:r>
    </w:p>
    <w:p w14:paraId="1448DDC2">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收件人：三方诚信招标有限公司东莞分公司</w:t>
      </w:r>
    </w:p>
    <w:p w14:paraId="4CEFC65B">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14:paraId="6EE89177">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14:paraId="4023B84E">
      <w:pPr>
        <w:pageBreakBefore w:val="0"/>
        <w:widowControl w:val="0"/>
        <w:numPr>
          <w:ilvl w:val="0"/>
          <w:numId w:val="3"/>
        </w:numPr>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14:paraId="13BE7A4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17.10.</w:t>
      </w:r>
      <w:r>
        <w:rPr>
          <w:rFonts w:hint="eastAsia" w:ascii="宋体" w:hAnsi="宋体" w:eastAsia="宋体"/>
          <w:color w:val="auto"/>
          <w:sz w:val="21"/>
          <w:szCs w:val="21"/>
          <w:highlight w:val="none"/>
          <w:lang w:eastAsia="zh-CN"/>
        </w:rPr>
        <w:t>采购代理机构将拒绝接收出现以下情况的投标文件：</w:t>
      </w:r>
    </w:p>
    <w:p w14:paraId="1BBB2064">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采用透明包装进行密封或未进行密封的投标文件；</w:t>
      </w:r>
    </w:p>
    <w:p w14:paraId="3EFF7363">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密封破损导致投标文件内容直接或间接泄露的投标文件；</w:t>
      </w:r>
    </w:p>
    <w:p w14:paraId="7F4FD967">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密封信封上项目编号错误的投标文件；</w:t>
      </w:r>
    </w:p>
    <w:p w14:paraId="05D5D275">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未在规定时间内领购文件的投标人的投标文件；</w:t>
      </w:r>
    </w:p>
    <w:p w14:paraId="3F2C96BB">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项目名称出现严重歧义或未标注所投项目信息导致无法分辨所投项目为本项目的投标文件；</w:t>
      </w:r>
    </w:p>
    <w:p w14:paraId="4A4C9BC0">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采用传真、电传的投标文件；</w:t>
      </w:r>
    </w:p>
    <w:p w14:paraId="27FF7430">
      <w:pPr>
        <w:pageBreakBefore w:val="0"/>
        <w:widowControl w:val="0"/>
        <w:numPr>
          <w:ilvl w:val="0"/>
          <w:numId w:val="4"/>
        </w:numPr>
        <w:kinsoku/>
        <w:wordWrap/>
        <w:topLinePunct w:val="0"/>
        <w:autoSpaceDE/>
        <w:autoSpaceDN/>
        <w:bidi w:val="0"/>
        <w:adjustRightInd/>
        <w:snapToGrid/>
        <w:spacing w:after="0" w:line="400" w:lineRule="exact"/>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招标文件规定的其他情形。</w:t>
      </w:r>
    </w:p>
    <w:p w14:paraId="307842A4">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17.11.</w:t>
      </w:r>
      <w:r>
        <w:rPr>
          <w:rFonts w:hint="eastAsia" w:ascii="宋体" w:hAnsi="宋体" w:eastAsia="宋体"/>
          <w:color w:val="auto"/>
          <w:sz w:val="21"/>
          <w:szCs w:val="21"/>
          <w:highlight w:val="none"/>
        </w:rPr>
        <w:t>采购代理机构对所有投标文件的误投或提前启封概不负责。</w:t>
      </w:r>
    </w:p>
    <w:p w14:paraId="48D6A98C">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17.12.</w:t>
      </w:r>
      <w:r>
        <w:rPr>
          <w:rFonts w:hint="eastAsia" w:ascii="宋体" w:hAnsi="宋体" w:eastAsia="宋体"/>
          <w:color w:val="auto"/>
          <w:sz w:val="21"/>
          <w:szCs w:val="21"/>
          <w:highlight w:val="none"/>
        </w:rPr>
        <w:t>投标人同时参加几个包投标时必须按招标文件要求按包号分别制作投标文件，分别密封递交。</w:t>
      </w:r>
    </w:p>
    <w:p w14:paraId="79C865C1">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17.13.</w:t>
      </w: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14:paraId="09C0CFA9">
      <w:pPr>
        <w:pageBreakBefore w:val="0"/>
        <w:kinsoku/>
        <w:wordWrap/>
        <w:topLinePunct w:val="0"/>
        <w:autoSpaceDE/>
        <w:autoSpaceDN/>
        <w:bidi w:val="0"/>
        <w:spacing w:line="400" w:lineRule="exact"/>
        <w:textAlignment w:val="auto"/>
        <w:rPr>
          <w:color w:val="auto"/>
          <w:highlight w:val="none"/>
        </w:rPr>
      </w:pPr>
    </w:p>
    <w:p w14:paraId="0B5BAA93">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0" w:name="_Toc30088"/>
      <w:r>
        <w:rPr>
          <w:rFonts w:hint="eastAsia" w:ascii="宋体" w:hAnsi="宋体" w:eastAsia="宋体"/>
          <w:color w:val="auto"/>
          <w:sz w:val="21"/>
          <w:szCs w:val="21"/>
          <w:highlight w:val="none"/>
        </w:rPr>
        <w:t>18.迟交的投标文件</w:t>
      </w:r>
      <w:bookmarkEnd w:id="50"/>
    </w:p>
    <w:p w14:paraId="690FAEB9">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18.1.</w:t>
      </w: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14:paraId="4B646C3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18.2.</w:t>
      </w:r>
      <w:r>
        <w:rPr>
          <w:rFonts w:hint="eastAsia" w:ascii="宋体" w:hAnsi="宋体" w:eastAsia="宋体"/>
          <w:color w:val="auto"/>
          <w:sz w:val="21"/>
          <w:szCs w:val="21"/>
          <w:highlight w:val="none"/>
        </w:rPr>
        <w:t>有违反其他法律规定情形的，采购代理机构将拒绝接收。</w:t>
      </w:r>
    </w:p>
    <w:p w14:paraId="5BFF05D2">
      <w:pPr>
        <w:pageBreakBefore w:val="0"/>
        <w:kinsoku/>
        <w:wordWrap/>
        <w:topLinePunct w:val="0"/>
        <w:autoSpaceDE/>
        <w:autoSpaceDN/>
        <w:bidi w:val="0"/>
        <w:spacing w:line="400" w:lineRule="exact"/>
        <w:textAlignment w:val="auto"/>
        <w:rPr>
          <w:color w:val="auto"/>
          <w:highlight w:val="none"/>
        </w:rPr>
      </w:pPr>
    </w:p>
    <w:p w14:paraId="68027EAA">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1" w:name="_Toc15912"/>
      <w:r>
        <w:rPr>
          <w:rFonts w:hint="eastAsia" w:ascii="宋体" w:hAnsi="宋体" w:eastAsia="宋体"/>
          <w:color w:val="auto"/>
          <w:sz w:val="21"/>
          <w:szCs w:val="21"/>
          <w:highlight w:val="none"/>
        </w:rPr>
        <w:t>19.投标样品</w:t>
      </w:r>
      <w:r>
        <w:rPr>
          <w:rFonts w:hint="eastAsia" w:ascii="宋体" w:hAnsi="宋体" w:eastAsia="宋体"/>
          <w:color w:val="auto"/>
          <w:sz w:val="21"/>
          <w:szCs w:val="21"/>
          <w:highlight w:val="none"/>
          <w:lang w:eastAsia="zh-CN"/>
        </w:rPr>
        <w:t>、投标演示</w:t>
      </w:r>
      <w:r>
        <w:rPr>
          <w:rFonts w:hint="eastAsia" w:ascii="宋体" w:hAnsi="宋体" w:eastAsia="宋体"/>
          <w:color w:val="auto"/>
          <w:sz w:val="21"/>
          <w:szCs w:val="21"/>
          <w:highlight w:val="none"/>
        </w:rPr>
        <w:t>（如</w:t>
      </w:r>
      <w:r>
        <w:rPr>
          <w:rFonts w:hint="eastAsia" w:ascii="宋体" w:hAnsi="宋体" w:eastAsia="宋体"/>
          <w:color w:val="auto"/>
          <w:sz w:val="21"/>
          <w:szCs w:val="21"/>
          <w:highlight w:val="none"/>
          <w:lang w:eastAsia="zh-CN"/>
        </w:rPr>
        <w:t>有要求</w:t>
      </w:r>
      <w:r>
        <w:rPr>
          <w:rFonts w:hint="eastAsia" w:ascii="宋体" w:hAnsi="宋体" w:eastAsia="宋体"/>
          <w:color w:val="auto"/>
          <w:sz w:val="21"/>
          <w:szCs w:val="21"/>
          <w:highlight w:val="none"/>
        </w:rPr>
        <w:t>）</w:t>
      </w:r>
      <w:bookmarkEnd w:id="51"/>
    </w:p>
    <w:p w14:paraId="0E17A46D">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19.1.</w:t>
      </w: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14:paraId="71CA7360">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19.2.</w:t>
      </w: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14:paraId="231C00F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19.3.</w:t>
      </w: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1F6A5EF1">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sz w:val="21"/>
          <w:szCs w:val="21"/>
          <w:highlight w:val="none"/>
          <w:lang w:val="en-US" w:eastAsia="zh-CN"/>
        </w:rPr>
      </w:pPr>
      <w:r>
        <w:rPr>
          <w:rFonts w:hint="eastAsia" w:ascii="宋体" w:hAnsi="宋体" w:eastAsia="宋体" w:cstheme="minorBidi"/>
          <w:color w:val="auto"/>
          <w:sz w:val="21"/>
          <w:szCs w:val="21"/>
          <w:highlight w:val="none"/>
          <w:lang w:val="en-US" w:eastAsia="zh-CN" w:bidi="ar-SA"/>
        </w:rPr>
        <w:t>19.4.</w:t>
      </w:r>
      <w:r>
        <w:rPr>
          <w:rFonts w:hint="eastAsia" w:ascii="宋体" w:hAnsi="宋体" w:eastAsia="宋体"/>
          <w:color w:val="auto"/>
          <w:sz w:val="21"/>
          <w:szCs w:val="21"/>
          <w:highlight w:val="none"/>
          <w:lang w:val="en-US" w:eastAsia="zh-CN"/>
        </w:rPr>
        <w:t>如有要求投标人视频演示环节，投标人将需要演示的内容以视频录制展示的形式完成，视频用U盘储存，并作为投标文件的组成部分，标注投标人的名称、项目名称、项目编号、项目包号加以盖章并密封提交。演示全程由采购人或采购单位操作完成。</w:t>
      </w:r>
    </w:p>
    <w:p w14:paraId="19EB7DE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lang w:val="en-US" w:eastAsia="zh-CN"/>
        </w:rPr>
      </w:pPr>
      <w:r>
        <w:rPr>
          <w:rFonts w:hint="eastAsia" w:ascii="宋体" w:hAnsi="宋体" w:eastAsia="宋体" w:cstheme="minorBidi"/>
          <w:color w:val="auto"/>
          <w:sz w:val="21"/>
          <w:szCs w:val="21"/>
          <w:highlight w:val="none"/>
          <w:lang w:val="en-US" w:eastAsia="zh-CN" w:bidi="ar-SA"/>
        </w:rPr>
        <w:t>19.5.</w:t>
      </w:r>
      <w:r>
        <w:rPr>
          <w:rFonts w:hint="eastAsia" w:ascii="宋体" w:hAnsi="宋体" w:eastAsia="宋体"/>
          <w:color w:val="auto"/>
          <w:sz w:val="21"/>
          <w:szCs w:val="21"/>
          <w:highlight w:val="none"/>
          <w:lang w:val="en-US" w:eastAsia="zh-CN"/>
        </w:rPr>
        <w:t>如有要求投标人现场演示环节，演示现场提供投影仪及电脑，所需的网络环境及设备全部由投标人自行解决。除非另有说明，投标人不得派超过2名工作人员进场演示。演示过程不设置问答环节。</w:t>
      </w:r>
    </w:p>
    <w:p w14:paraId="51CB6FDA">
      <w:pPr>
        <w:pageBreakBefore w:val="0"/>
        <w:kinsoku/>
        <w:topLinePunct w:val="0"/>
        <w:autoSpaceDE/>
        <w:autoSpaceDN/>
        <w:bidi w:val="0"/>
        <w:spacing w:line="360" w:lineRule="auto"/>
        <w:rPr>
          <w:color w:val="auto"/>
          <w:highlight w:val="none"/>
        </w:rPr>
      </w:pPr>
    </w:p>
    <w:p w14:paraId="2EB20255">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2" w:name="_Toc382049112"/>
      <w:bookmarkStart w:id="53" w:name="_Toc28098"/>
      <w:bookmarkStart w:id="54" w:name="_Toc9777"/>
      <w:bookmarkStart w:id="55" w:name="_Toc303084265"/>
      <w:r>
        <w:rPr>
          <w:rFonts w:hint="eastAsia" w:ascii="宋体" w:hAnsi="宋体" w:eastAsia="宋体"/>
          <w:color w:val="auto"/>
          <w:sz w:val="21"/>
          <w:szCs w:val="21"/>
          <w:highlight w:val="none"/>
        </w:rPr>
        <w:t>20.投标截止期</w:t>
      </w:r>
      <w:bookmarkEnd w:id="52"/>
      <w:bookmarkEnd w:id="53"/>
      <w:bookmarkEnd w:id="54"/>
      <w:bookmarkEnd w:id="55"/>
    </w:p>
    <w:p w14:paraId="2B665710">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20.1.</w:t>
      </w:r>
      <w:r>
        <w:rPr>
          <w:rFonts w:hint="eastAsia" w:ascii="宋体" w:hAnsi="宋体" w:eastAsia="宋体"/>
          <w:color w:val="auto"/>
          <w:sz w:val="21"/>
          <w:szCs w:val="21"/>
          <w:highlight w:val="none"/>
        </w:rPr>
        <w:t>投标人应在招标文件规定的截止日期和时间内，将投标文件送达到指定地点。</w:t>
      </w:r>
    </w:p>
    <w:p w14:paraId="2F8946C0">
      <w:pPr>
        <w:pageBreakBefore w:val="0"/>
        <w:kinsoku/>
        <w:wordWrap/>
        <w:topLinePunct w:val="0"/>
        <w:autoSpaceDE/>
        <w:autoSpaceDN/>
        <w:bidi w:val="0"/>
        <w:spacing w:line="400" w:lineRule="exact"/>
        <w:textAlignment w:val="auto"/>
        <w:rPr>
          <w:color w:val="auto"/>
          <w:highlight w:val="none"/>
        </w:rPr>
      </w:pPr>
    </w:p>
    <w:p w14:paraId="665FCF64">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6" w:name="_Toc22260"/>
      <w:r>
        <w:rPr>
          <w:rFonts w:hint="eastAsia" w:ascii="宋体" w:hAnsi="宋体" w:eastAsia="宋体"/>
          <w:color w:val="auto"/>
          <w:sz w:val="21"/>
          <w:szCs w:val="21"/>
          <w:highlight w:val="none"/>
        </w:rPr>
        <w:t>21.投标文件的补充、修改与撤回</w:t>
      </w:r>
      <w:bookmarkEnd w:id="56"/>
    </w:p>
    <w:p w14:paraId="42A56B38">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21.1.</w:t>
      </w: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6C2D84A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21.2.</w:t>
      </w: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76F59A8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21.3.</w:t>
      </w:r>
      <w:r>
        <w:rPr>
          <w:rFonts w:hint="eastAsia" w:ascii="宋体" w:hAnsi="宋体" w:eastAsia="宋体"/>
          <w:color w:val="auto"/>
          <w:sz w:val="21"/>
          <w:szCs w:val="21"/>
          <w:highlight w:val="none"/>
        </w:rPr>
        <w:t>投标文件一经递交不予退还。</w:t>
      </w:r>
    </w:p>
    <w:p w14:paraId="3CB454DF">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21.4.</w:t>
      </w: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14:paraId="0368CFDA">
      <w:pPr>
        <w:pStyle w:val="7"/>
        <w:pageBreakBefore w:val="0"/>
        <w:kinsoku/>
        <w:topLinePunct w:val="0"/>
        <w:autoSpaceDE/>
        <w:autoSpaceDN/>
        <w:bidi w:val="0"/>
        <w:spacing w:line="360" w:lineRule="auto"/>
        <w:rPr>
          <w:color w:val="auto"/>
          <w:highlight w:val="none"/>
        </w:rPr>
      </w:pPr>
    </w:p>
    <w:p w14:paraId="4A0AE8F7">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57" w:name="_Toc13835"/>
      <w:r>
        <w:rPr>
          <w:rFonts w:hint="eastAsia" w:ascii="宋体" w:hAnsi="宋体" w:eastAsia="宋体"/>
          <w:color w:val="auto"/>
          <w:highlight w:val="none"/>
        </w:rPr>
        <w:t>开标与评标</w:t>
      </w:r>
      <w:bookmarkEnd w:id="57"/>
    </w:p>
    <w:p w14:paraId="65BA2680">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8" w:name="_Toc174"/>
      <w:r>
        <w:rPr>
          <w:rFonts w:hint="eastAsia" w:ascii="宋体" w:hAnsi="宋体" w:eastAsia="宋体"/>
          <w:color w:val="auto"/>
          <w:sz w:val="21"/>
          <w:szCs w:val="21"/>
          <w:highlight w:val="none"/>
        </w:rPr>
        <w:t>22.开标</w:t>
      </w:r>
      <w:bookmarkEnd w:id="58"/>
    </w:p>
    <w:p w14:paraId="32622AF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22.1.</w:t>
      </w: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14:paraId="3827430B">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22.2.</w:t>
      </w:r>
      <w:r>
        <w:rPr>
          <w:rFonts w:ascii="宋体" w:hAnsi="宋体" w:eastAsia="宋体"/>
          <w:color w:val="auto"/>
          <w:sz w:val="21"/>
          <w:szCs w:val="21"/>
          <w:highlight w:val="none"/>
        </w:rPr>
        <w:t>开标程序：</w:t>
      </w:r>
    </w:p>
    <w:p w14:paraId="2E351860">
      <w:pPr>
        <w:pageBreakBefore w:val="0"/>
        <w:widowControl w:val="0"/>
        <w:numPr>
          <w:ilvl w:val="2"/>
          <w:numId w:val="0"/>
        </w:numPr>
        <w:tabs>
          <w:tab w:val="left" w:pos="567"/>
        </w:tabs>
        <w:kinsoku/>
        <w:wordWrap/>
        <w:topLinePunct w:val="0"/>
        <w:autoSpaceDE/>
        <w:autoSpaceDN/>
        <w:bidi w:val="0"/>
        <w:adjustRightInd/>
        <w:snapToGrid/>
        <w:spacing w:after="0" w:line="400" w:lineRule="exact"/>
        <w:ind w:left="794" w:leftChars="0" w:hanging="794"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22.2.1.</w:t>
      </w: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14:paraId="5C138DA1">
      <w:pPr>
        <w:pageBreakBefore w:val="0"/>
        <w:widowControl w:val="0"/>
        <w:numPr>
          <w:ilvl w:val="2"/>
          <w:numId w:val="0"/>
        </w:numPr>
        <w:tabs>
          <w:tab w:val="left" w:pos="567"/>
        </w:tabs>
        <w:kinsoku/>
        <w:wordWrap/>
        <w:topLinePunct w:val="0"/>
        <w:autoSpaceDE/>
        <w:autoSpaceDN/>
        <w:bidi w:val="0"/>
        <w:adjustRightInd/>
        <w:snapToGrid/>
        <w:spacing w:after="0" w:line="400" w:lineRule="exact"/>
        <w:ind w:left="794" w:leftChars="0" w:hanging="794"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22.2.2.</w:t>
      </w: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14:paraId="7A067091">
      <w:pPr>
        <w:pageBreakBefore w:val="0"/>
        <w:widowControl w:val="0"/>
        <w:numPr>
          <w:ilvl w:val="2"/>
          <w:numId w:val="0"/>
        </w:numPr>
        <w:tabs>
          <w:tab w:val="left" w:pos="567"/>
        </w:tabs>
        <w:kinsoku/>
        <w:wordWrap/>
        <w:topLinePunct w:val="0"/>
        <w:autoSpaceDE/>
        <w:autoSpaceDN/>
        <w:bidi w:val="0"/>
        <w:adjustRightInd/>
        <w:snapToGrid/>
        <w:spacing w:after="0" w:line="400" w:lineRule="exact"/>
        <w:ind w:left="794" w:leftChars="0" w:hanging="794"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22.2.3.</w:t>
      </w: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w:t>
      </w:r>
    </w:p>
    <w:p w14:paraId="1B53EAF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22.3.</w:t>
      </w:r>
      <w:r>
        <w:rPr>
          <w:rFonts w:hint="eastAsia" w:ascii="宋体" w:hAnsi="宋体" w:eastAsia="宋体"/>
          <w:color w:val="auto"/>
          <w:sz w:val="21"/>
          <w:szCs w:val="21"/>
          <w:highlight w:val="none"/>
        </w:rPr>
        <w:t>投标人未参加开标的，视同认可开标结果。</w:t>
      </w:r>
    </w:p>
    <w:p w14:paraId="25481406">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22.4.</w:t>
      </w:r>
      <w:r>
        <w:rPr>
          <w:rFonts w:hint="eastAsia" w:ascii="宋体" w:hAnsi="宋体" w:eastAsia="宋体"/>
          <w:color w:val="auto"/>
          <w:sz w:val="21"/>
          <w:szCs w:val="21"/>
          <w:highlight w:val="none"/>
        </w:rPr>
        <w:t>合格投标人不足3家的，不得开标；</w:t>
      </w:r>
    </w:p>
    <w:p w14:paraId="03BDE302">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22.5.</w:t>
      </w: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14:paraId="482FDD14">
      <w:pPr>
        <w:pageBreakBefore w:val="0"/>
        <w:widowControl w:val="0"/>
        <w:kinsoku/>
        <w:wordWrap/>
        <w:topLinePunct w:val="0"/>
        <w:autoSpaceDE/>
        <w:autoSpaceDN/>
        <w:bidi w:val="0"/>
        <w:adjustRightInd/>
        <w:snapToGrid/>
        <w:spacing w:after="0" w:line="400" w:lineRule="exact"/>
        <w:ind w:left="567"/>
        <w:jc w:val="both"/>
        <w:textAlignment w:val="auto"/>
        <w:rPr>
          <w:color w:val="auto"/>
          <w:highlight w:val="none"/>
        </w:rPr>
      </w:pPr>
    </w:p>
    <w:p w14:paraId="568FD766">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59" w:name="_Toc318"/>
      <w:r>
        <w:rPr>
          <w:rFonts w:hint="eastAsia" w:ascii="宋体" w:hAnsi="宋体" w:eastAsia="宋体"/>
          <w:color w:val="auto"/>
          <w:sz w:val="21"/>
          <w:szCs w:val="21"/>
          <w:highlight w:val="none"/>
        </w:rPr>
        <w:t>23.评标委员会及评标方法</w:t>
      </w:r>
      <w:bookmarkEnd w:id="59"/>
    </w:p>
    <w:p w14:paraId="78F2F423">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23.1.</w:t>
      </w:r>
      <w:r>
        <w:rPr>
          <w:rFonts w:hint="eastAsia" w:ascii="宋体" w:hAnsi="宋体" w:eastAsia="宋体"/>
          <w:color w:val="auto"/>
          <w:sz w:val="21"/>
          <w:szCs w:val="21"/>
          <w:highlight w:val="none"/>
        </w:rPr>
        <w:t>评标委员会根据招标项目的特点进行组建，并负责评标工作。</w:t>
      </w:r>
    </w:p>
    <w:p w14:paraId="3E89B245">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23.2.</w:t>
      </w:r>
      <w:r>
        <w:rPr>
          <w:rFonts w:hint="eastAsia" w:ascii="宋体" w:hAnsi="宋体" w:eastAsia="宋体"/>
          <w:color w:val="auto"/>
          <w:sz w:val="21"/>
          <w:szCs w:val="21"/>
          <w:highlight w:val="none"/>
        </w:rPr>
        <w:t>评审方法：本次招标的评审方法采用综合评分法。</w:t>
      </w:r>
    </w:p>
    <w:p w14:paraId="38F18377">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23.3.</w:t>
      </w:r>
      <w:r>
        <w:rPr>
          <w:rFonts w:hint="eastAsia" w:ascii="宋体" w:hAnsi="宋体" w:eastAsia="宋体"/>
          <w:color w:val="auto"/>
          <w:sz w:val="21"/>
          <w:szCs w:val="21"/>
          <w:highlight w:val="none"/>
          <w:lang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提供新证书与提供在有效期内的旧证书给予同等认可。</w:t>
      </w:r>
    </w:p>
    <w:p w14:paraId="7B1D657F">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23.4.</w:t>
      </w:r>
      <w:r>
        <w:rPr>
          <w:rFonts w:hint="eastAsia" w:ascii="宋体" w:hAnsi="宋体" w:eastAsia="宋体"/>
          <w:color w:val="auto"/>
          <w:sz w:val="21"/>
          <w:szCs w:val="21"/>
          <w:highlight w:val="none"/>
        </w:rPr>
        <w:t>定标原则：在</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14:paraId="3392B884">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23.5.</w:t>
      </w: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14:paraId="17892A21">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23.6.</w:t>
      </w: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0C7E74C7">
      <w:pPr>
        <w:pageBreakBefore w:val="0"/>
        <w:kinsoku/>
        <w:wordWrap/>
        <w:topLinePunct w:val="0"/>
        <w:autoSpaceDE/>
        <w:autoSpaceDN/>
        <w:bidi w:val="0"/>
        <w:spacing w:line="400" w:lineRule="exact"/>
        <w:textAlignment w:val="auto"/>
        <w:rPr>
          <w:color w:val="auto"/>
          <w:highlight w:val="none"/>
        </w:rPr>
      </w:pPr>
    </w:p>
    <w:p w14:paraId="2FA201C5">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0" w:name="_Toc21911"/>
      <w:r>
        <w:rPr>
          <w:rFonts w:hint="eastAsia" w:ascii="宋体" w:hAnsi="宋体" w:eastAsia="宋体"/>
          <w:color w:val="auto"/>
          <w:sz w:val="21"/>
          <w:szCs w:val="21"/>
          <w:highlight w:val="none"/>
        </w:rPr>
        <w:t>24.评审原则及评标过程的保密</w:t>
      </w:r>
      <w:bookmarkEnd w:id="60"/>
    </w:p>
    <w:p w14:paraId="2527D701">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24.1.</w:t>
      </w:r>
      <w:r>
        <w:rPr>
          <w:rFonts w:hint="eastAsia" w:ascii="宋体" w:hAnsi="宋体" w:eastAsia="宋体"/>
          <w:color w:val="auto"/>
          <w:sz w:val="21"/>
          <w:szCs w:val="21"/>
          <w:highlight w:val="none"/>
        </w:rPr>
        <w:t>评审的基本原则：评标委员会将依据《中华人民共和国政府采购法》及国家和地方政府有关法规的规定，遵循“</w:t>
      </w:r>
      <w:r>
        <w:rPr>
          <w:rFonts w:hint="eastAsia" w:ascii="宋体" w:hAnsi="宋体" w:eastAsia="宋体"/>
          <w:color w:val="auto"/>
          <w:sz w:val="21"/>
          <w:szCs w:val="21"/>
          <w:highlight w:val="none"/>
          <w:lang w:eastAsia="zh-CN"/>
        </w:rPr>
        <w:t>客观、公正、审慎</w:t>
      </w:r>
      <w:r>
        <w:rPr>
          <w:rFonts w:hint="eastAsia" w:ascii="宋体" w:hAnsi="宋体" w:eastAsia="宋体"/>
          <w:color w:val="auto"/>
          <w:sz w:val="21"/>
          <w:szCs w:val="21"/>
          <w:highlight w:val="none"/>
        </w:rPr>
        <w:t>”的原则进行评审工作。</w:t>
      </w:r>
    </w:p>
    <w:p w14:paraId="49C07125">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24.2.</w:t>
      </w: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14:paraId="50D9D5BB">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24.3.</w:t>
      </w:r>
      <w:r>
        <w:rPr>
          <w:rFonts w:hint="eastAsia" w:ascii="宋体" w:hAnsi="宋体" w:eastAsia="宋体"/>
          <w:color w:val="auto"/>
          <w:sz w:val="21"/>
          <w:szCs w:val="21"/>
          <w:highlight w:val="none"/>
        </w:rPr>
        <w:t>任何单位和个人不得非法干预、影响评标的过程和结果。</w:t>
      </w:r>
    </w:p>
    <w:p w14:paraId="62E89EF0">
      <w:pPr>
        <w:pageBreakBefore w:val="0"/>
        <w:kinsoku/>
        <w:wordWrap/>
        <w:topLinePunct w:val="0"/>
        <w:autoSpaceDE/>
        <w:autoSpaceDN/>
        <w:bidi w:val="0"/>
        <w:spacing w:line="400" w:lineRule="exact"/>
        <w:textAlignment w:val="auto"/>
        <w:rPr>
          <w:color w:val="auto"/>
          <w:highlight w:val="none"/>
        </w:rPr>
      </w:pPr>
    </w:p>
    <w:p w14:paraId="56841467">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1" w:name="_Toc12318"/>
      <w:r>
        <w:rPr>
          <w:rFonts w:hint="eastAsia" w:ascii="宋体" w:hAnsi="宋体" w:eastAsia="宋体"/>
          <w:color w:val="auto"/>
          <w:sz w:val="21"/>
          <w:szCs w:val="21"/>
          <w:highlight w:val="none"/>
        </w:rPr>
        <w:t>25.投标文件的初审</w:t>
      </w:r>
      <w:bookmarkEnd w:id="61"/>
    </w:p>
    <w:p w14:paraId="13036F58">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sz w:val="21"/>
          <w:szCs w:val="21"/>
          <w:highlight w:val="none"/>
        </w:rPr>
      </w:pPr>
      <w:r>
        <w:rPr>
          <w:rFonts w:hint="eastAsia" w:ascii="宋体" w:hAnsi="宋体" w:eastAsia="宋体" w:cstheme="minorBidi"/>
          <w:b/>
          <w:color w:val="auto"/>
          <w:sz w:val="21"/>
          <w:szCs w:val="21"/>
          <w:highlight w:val="none"/>
          <w:lang w:val="en-US" w:eastAsia="zh-CN" w:bidi="ar-SA"/>
        </w:rPr>
        <w:t>25.1.</w:t>
      </w: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w:t>
      </w:r>
      <w:r>
        <w:rPr>
          <w:rFonts w:hint="eastAsia" w:ascii="宋体" w:hAnsi="宋体" w:eastAsia="宋体"/>
          <w:color w:val="auto"/>
          <w:sz w:val="21"/>
          <w:szCs w:val="21"/>
          <w:highlight w:val="none"/>
          <w:lang w:eastAsia="zh-CN"/>
        </w:rPr>
        <w:t>符合性审查</w:t>
      </w:r>
      <w:r>
        <w:rPr>
          <w:rFonts w:hint="eastAsia" w:ascii="宋体" w:hAnsi="宋体" w:eastAsia="宋体"/>
          <w:color w:val="auto"/>
          <w:sz w:val="21"/>
          <w:szCs w:val="21"/>
          <w:highlight w:val="none"/>
        </w:rPr>
        <w:t>的评审</w:t>
      </w:r>
      <w:r>
        <w:rPr>
          <w:rFonts w:hint="eastAsia" w:ascii="宋体" w:hAnsi="宋体" w:eastAsia="宋体"/>
          <w:color w:val="auto"/>
          <w:sz w:val="21"/>
          <w:szCs w:val="21"/>
          <w:highlight w:val="none"/>
          <w:lang w:eastAsia="zh-CN"/>
        </w:rPr>
        <w:t>，</w:t>
      </w:r>
      <w:r>
        <w:rPr>
          <w:rFonts w:hint="eastAsia" w:ascii="宋体" w:hAnsi="宋体" w:eastAsia="宋体"/>
          <w:b/>
          <w:color w:val="auto"/>
          <w:sz w:val="21"/>
          <w:szCs w:val="21"/>
          <w:highlight w:val="none"/>
        </w:rPr>
        <w:t>资格性检查</w:t>
      </w:r>
      <w:r>
        <w:rPr>
          <w:rFonts w:hint="eastAsia" w:ascii="宋体" w:hAnsi="宋体" w:eastAsia="宋体"/>
          <w:b/>
          <w:color w:val="auto"/>
          <w:sz w:val="21"/>
          <w:szCs w:val="21"/>
          <w:highlight w:val="none"/>
          <w:lang w:eastAsia="zh-CN"/>
        </w:rPr>
        <w:t>中发现下列情形之一的，其投标作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lang w:eastAsia="zh-CN"/>
        </w:rPr>
        <w:t>处理：</w:t>
      </w:r>
    </w:p>
    <w:p w14:paraId="4ADC121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14:paraId="7E398F3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highlight w:val="none"/>
          <w:lang w:eastAsia="zh-CN"/>
        </w:rPr>
        <w:t>；④提供的资质材料模糊不清导致无法辨认的。⑤投标人名称与投标文件公章不一致的。</w:t>
      </w:r>
    </w:p>
    <w:p w14:paraId="1427284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2) 投标保证金瑕疵</w:t>
      </w:r>
      <w:r>
        <w:rPr>
          <w:rFonts w:hint="eastAsia" w:ascii="宋体" w:hAnsi="宋体" w:eastAsia="宋体"/>
          <w:b/>
          <w:color w:val="auto"/>
          <w:sz w:val="21"/>
          <w:szCs w:val="21"/>
          <w:highlight w:val="none"/>
          <w:lang w:eastAsia="zh-CN"/>
        </w:rPr>
        <w:t>（无）</w:t>
      </w:r>
    </w:p>
    <w:p w14:paraId="57B27AAF">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14:paraId="0016A64A">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25.2.</w:t>
      </w: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w:t>
      </w:r>
      <w:r>
        <w:rPr>
          <w:rFonts w:hint="eastAsia" w:ascii="宋体" w:hAnsi="宋体" w:eastAsia="宋体"/>
          <w:color w:val="auto"/>
          <w:sz w:val="21"/>
          <w:szCs w:val="21"/>
          <w:highlight w:val="none"/>
          <w:lang w:eastAsia="zh-CN"/>
        </w:rPr>
        <w:t>撤销</w:t>
      </w:r>
      <w:r>
        <w:rPr>
          <w:rFonts w:hint="eastAsia" w:ascii="宋体" w:hAnsi="宋体" w:eastAsia="宋体"/>
          <w:color w:val="auto"/>
          <w:sz w:val="21"/>
          <w:szCs w:val="21"/>
          <w:highlight w:val="none"/>
        </w:rPr>
        <w:t>不合要求的偏离或保留从而使其投标成为实质上响应的投标。</w:t>
      </w:r>
      <w:r>
        <w:rPr>
          <w:rFonts w:hint="eastAsia" w:ascii="宋体" w:hAnsi="宋体" w:eastAsia="宋体"/>
          <w:color w:val="auto"/>
          <w:sz w:val="21"/>
          <w:szCs w:val="21"/>
          <w:highlight w:val="none"/>
          <w:lang w:eastAsia="zh-CN"/>
        </w:rPr>
        <w:t>符合性审查过程</w:t>
      </w:r>
      <w:r>
        <w:rPr>
          <w:rFonts w:hint="eastAsia" w:ascii="宋体" w:hAnsi="宋体" w:eastAsia="宋体"/>
          <w:color w:val="auto"/>
          <w:sz w:val="21"/>
          <w:szCs w:val="21"/>
          <w:highlight w:val="none"/>
        </w:rPr>
        <w:t>中，</w:t>
      </w:r>
      <w:r>
        <w:rPr>
          <w:rFonts w:hint="eastAsia" w:ascii="宋体" w:hAnsi="宋体" w:eastAsia="宋体"/>
          <w:b/>
          <w:color w:val="auto"/>
          <w:sz w:val="21"/>
          <w:szCs w:val="21"/>
          <w:highlight w:val="none"/>
        </w:rPr>
        <w:t>发现下列情况之一的，其投标将作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rPr>
        <w:t>处理</w:t>
      </w:r>
      <w:r>
        <w:rPr>
          <w:rFonts w:hint="eastAsia" w:ascii="宋体" w:hAnsi="宋体" w:eastAsia="宋体"/>
          <w:color w:val="auto"/>
          <w:sz w:val="21"/>
          <w:szCs w:val="21"/>
          <w:highlight w:val="none"/>
        </w:rPr>
        <w:t>：</w:t>
      </w:r>
    </w:p>
    <w:p w14:paraId="4CB910D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14:paraId="4688C2B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投标文件内容与采购内容不符的</w:t>
      </w:r>
      <w:r>
        <w:rPr>
          <w:rFonts w:hint="eastAsia" w:ascii="宋体" w:hAnsi="宋体" w:eastAsia="宋体"/>
          <w:color w:val="auto"/>
          <w:sz w:val="21"/>
          <w:szCs w:val="21"/>
          <w:highlight w:val="none"/>
          <w:lang w:eastAsia="zh-CN"/>
        </w:rPr>
        <w:t>（包括但不限于</w:t>
      </w:r>
      <w:r>
        <w:rPr>
          <w:rFonts w:hint="eastAsia" w:ascii="宋体" w:hAnsi="宋体" w:eastAsia="宋体"/>
          <w:color w:val="auto"/>
          <w:sz w:val="21"/>
          <w:szCs w:val="21"/>
          <w:highlight w:val="none"/>
        </w:rPr>
        <w:t>投标文件项目采购项目编号错误，投标文件项目名称错误导致无法</w:t>
      </w:r>
      <w:r>
        <w:rPr>
          <w:rFonts w:hint="eastAsia" w:ascii="宋体" w:hAnsi="宋体" w:eastAsia="宋体"/>
          <w:color w:val="auto"/>
          <w:sz w:val="21"/>
          <w:szCs w:val="21"/>
          <w:highlight w:val="none"/>
          <w:lang w:val="en-US" w:eastAsia="zh-CN"/>
        </w:rPr>
        <w:t>分辨</w:t>
      </w:r>
      <w:r>
        <w:rPr>
          <w:rFonts w:hint="eastAsia" w:ascii="宋体" w:hAnsi="宋体" w:eastAsia="宋体"/>
          <w:color w:val="auto"/>
          <w:sz w:val="21"/>
          <w:szCs w:val="21"/>
          <w:highlight w:val="none"/>
        </w:rPr>
        <w:t>所投项目为本项目</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投标文件数量少于招标文件要求的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；②投标文件中要求签字的内容无法定代表人或其授权代表签字，或签字人无法定代表人有效授权的；③签字盖章不符合招标文件要求的；④投标文件内容有严重缺漏项的；</w:t>
      </w:r>
      <w:r>
        <w:rPr>
          <w:rFonts w:hint="eastAsia" w:ascii="宋体" w:hAnsi="宋体" w:eastAsia="宋体"/>
          <w:color w:val="auto"/>
          <w:sz w:val="21"/>
          <w:szCs w:val="21"/>
          <w:highlight w:val="none"/>
          <w:lang w:eastAsia="zh-CN"/>
        </w:rPr>
        <w:t>⑤</w:t>
      </w:r>
      <w:r>
        <w:rPr>
          <w:rFonts w:hint="eastAsia" w:ascii="宋体" w:hAnsi="宋体" w:eastAsia="宋体"/>
          <w:color w:val="auto"/>
          <w:sz w:val="21"/>
          <w:szCs w:val="21"/>
          <w:highlight w:val="none"/>
        </w:rPr>
        <w:t>投标文件的关键内容字迹模糊、无法辨认的；</w:t>
      </w:r>
      <w:r>
        <w:rPr>
          <w:rFonts w:hint="eastAsia" w:ascii="宋体" w:hAnsi="宋体" w:eastAsia="宋体"/>
          <w:color w:val="auto"/>
          <w:sz w:val="21"/>
          <w:szCs w:val="21"/>
          <w:highlight w:val="none"/>
          <w:lang w:eastAsia="zh-CN"/>
        </w:rPr>
        <w:t>⑥</w:t>
      </w:r>
      <w:r>
        <w:rPr>
          <w:rFonts w:hint="eastAsia" w:ascii="宋体" w:hAnsi="宋体" w:eastAsia="宋体"/>
          <w:color w:val="auto"/>
          <w:sz w:val="21"/>
          <w:szCs w:val="21"/>
          <w:highlight w:val="none"/>
        </w:rPr>
        <w:t>投标有效期不符合文件要求的。</w:t>
      </w:r>
    </w:p>
    <w:p w14:paraId="1674D6A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14:paraId="1DC165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w:t>
      </w:r>
      <w:r>
        <w:rPr>
          <w:rFonts w:hint="eastAsia" w:ascii="宋体" w:hAnsi="宋体" w:eastAsia="宋体"/>
          <w:color w:val="auto"/>
          <w:sz w:val="21"/>
          <w:szCs w:val="21"/>
          <w:highlight w:val="none"/>
          <w:lang w:eastAsia="zh-CN"/>
        </w:rPr>
        <w:t>技术条款</w:t>
      </w:r>
      <w:r>
        <w:rPr>
          <w:rFonts w:hint="eastAsia" w:ascii="宋体" w:hAnsi="宋体" w:eastAsia="宋体"/>
          <w:color w:val="auto"/>
          <w:sz w:val="21"/>
          <w:szCs w:val="21"/>
          <w:highlight w:val="none"/>
        </w:rPr>
        <w:t>偏离表》未提供的；⑤将一个包中的内容拆开投标的；⑥投标人对同一货物或服务投标时，</w:t>
      </w:r>
      <w:r>
        <w:rPr>
          <w:rFonts w:hint="eastAsia" w:ascii="宋体" w:hAnsi="宋体" w:eastAsia="宋体"/>
          <w:color w:val="auto"/>
          <w:sz w:val="21"/>
          <w:szCs w:val="21"/>
          <w:highlight w:val="none"/>
          <w:lang w:eastAsia="zh-CN"/>
        </w:rPr>
        <w:t>投标方案不唯一</w:t>
      </w:r>
      <w:r>
        <w:rPr>
          <w:rFonts w:hint="eastAsia" w:ascii="宋体" w:hAnsi="宋体" w:eastAsia="宋体"/>
          <w:color w:val="auto"/>
          <w:sz w:val="21"/>
          <w:szCs w:val="21"/>
          <w:highlight w:val="none"/>
        </w:rPr>
        <w:t>；⑦明显不符合技术规格、技术标准要求的；⑧其他未实质性响应招标文件技术要求的。</w:t>
      </w:r>
    </w:p>
    <w:p w14:paraId="7A19379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14:paraId="6DC672B5">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w:t>
      </w:r>
      <w:r>
        <w:rPr>
          <w:rFonts w:hint="eastAsia" w:ascii="宋体" w:hAnsi="宋体" w:eastAsia="宋体"/>
          <w:color w:val="auto"/>
          <w:sz w:val="21"/>
          <w:szCs w:val="21"/>
          <w:highlight w:val="none"/>
          <w:lang w:eastAsia="zh-CN"/>
        </w:rPr>
        <w:t>⑤</w:t>
      </w:r>
      <w:r>
        <w:rPr>
          <w:rFonts w:hint="eastAsia" w:ascii="宋体" w:hAnsi="宋体" w:eastAsia="宋体"/>
          <w:color w:val="auto"/>
          <w:sz w:val="21"/>
          <w:szCs w:val="21"/>
          <w:highlight w:val="none"/>
        </w:rPr>
        <w:t>投标文件附有采购人不能接受的条件的；</w:t>
      </w:r>
      <w:r>
        <w:rPr>
          <w:rFonts w:hint="eastAsia" w:ascii="宋体" w:hAnsi="宋体" w:eastAsia="宋体"/>
          <w:color w:val="auto"/>
          <w:sz w:val="21"/>
          <w:szCs w:val="21"/>
          <w:highlight w:val="none"/>
          <w:lang w:eastAsia="zh-CN"/>
        </w:rPr>
        <w:t>⑥</w:t>
      </w:r>
      <w:r>
        <w:rPr>
          <w:rFonts w:hint="eastAsia" w:ascii="宋体" w:hAnsi="宋体" w:eastAsia="宋体"/>
          <w:color w:val="auto"/>
          <w:sz w:val="21"/>
          <w:szCs w:val="21"/>
          <w:highlight w:val="none"/>
        </w:rPr>
        <w:t>其他未实质性响应招标文件商务要求的。</w:t>
      </w:r>
    </w:p>
    <w:p w14:paraId="1736414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14:paraId="070A97E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包括但不限于：</w:t>
      </w:r>
      <w:r>
        <w:rPr>
          <w:rFonts w:hint="eastAsia" w:ascii="宋体" w:hAnsi="宋体" w:eastAsia="宋体"/>
          <w:color w:val="auto"/>
          <w:sz w:val="21"/>
          <w:szCs w:val="21"/>
          <w:highlight w:val="none"/>
        </w:rPr>
        <w:t>①投标报价超过本招标文件明确的项目预算或文件明确的最高限价；②</w:t>
      </w:r>
      <w:r>
        <w:rPr>
          <w:rFonts w:hint="eastAsia" w:ascii="宋体" w:hAnsi="宋体" w:eastAsia="宋体"/>
          <w:color w:val="auto"/>
          <w:sz w:val="21"/>
          <w:szCs w:val="21"/>
          <w:highlight w:val="none"/>
          <w:lang w:eastAsia="zh-CN"/>
        </w:rPr>
        <w:t>未按招标文件要求进行报价的</w:t>
      </w:r>
      <w:r>
        <w:rPr>
          <w:rFonts w:hint="eastAsia" w:ascii="宋体" w:hAnsi="宋体" w:eastAsia="宋体"/>
          <w:color w:val="auto"/>
          <w:sz w:val="21"/>
          <w:szCs w:val="21"/>
          <w:highlight w:val="none"/>
        </w:rPr>
        <w:t>；③</w:t>
      </w:r>
      <w:r>
        <w:rPr>
          <w:rFonts w:hint="eastAsia" w:ascii="宋体" w:hAnsi="宋体" w:eastAsia="宋体"/>
          <w:color w:val="auto"/>
          <w:sz w:val="21"/>
          <w:szCs w:val="21"/>
          <w:highlight w:val="none"/>
          <w:lang w:eastAsia="zh-CN"/>
        </w:rPr>
        <w:t>报价内容或报价格式不符合招标文件要求的；④投标报价有严重缺漏项的。</w:t>
      </w:r>
    </w:p>
    <w:p w14:paraId="66E88D4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14:paraId="76BEA2C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r>
        <w:rPr>
          <w:rFonts w:hint="eastAsia" w:ascii="宋体" w:hAnsi="宋体" w:eastAsia="宋体"/>
          <w:color w:val="auto"/>
          <w:sz w:val="21"/>
          <w:szCs w:val="21"/>
          <w:highlight w:val="none"/>
          <w:lang w:eastAsia="zh-CN"/>
        </w:rPr>
        <w:t>③存在经评标委员会认定的其他违规违法行为。</w:t>
      </w:r>
    </w:p>
    <w:p w14:paraId="725777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14:paraId="1E539A9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14:paraId="326F87D7">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25.3.</w:t>
      </w: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14:paraId="370A511A">
      <w:pPr>
        <w:pageBreakBefore w:val="0"/>
        <w:widowControl w:val="0"/>
        <w:numPr>
          <w:ilvl w:val="1"/>
          <w:numId w:val="0"/>
        </w:numPr>
        <w:kinsoku/>
        <w:wordWrap/>
        <w:topLinePunct w:val="0"/>
        <w:autoSpaceDE/>
        <w:autoSpaceDN/>
        <w:bidi w:val="0"/>
        <w:adjustRightInd/>
        <w:snapToGrid/>
        <w:spacing w:after="0" w:line="400" w:lineRule="exact"/>
        <w:ind w:left="567" w:leftChars="0" w:hanging="567" w:firstLineChars="0"/>
        <w:jc w:val="both"/>
        <w:textAlignment w:val="auto"/>
        <w:rPr>
          <w:color w:val="auto"/>
          <w:highlight w:val="none"/>
        </w:rPr>
      </w:pPr>
      <w:r>
        <w:rPr>
          <w:rFonts w:hint="eastAsia" w:ascii="宋体" w:hAnsi="宋体" w:eastAsia="宋体" w:cstheme="minorBidi"/>
          <w:color w:val="auto"/>
          <w:sz w:val="22"/>
          <w:szCs w:val="22"/>
          <w:highlight w:val="none"/>
          <w:lang w:val="en-US" w:eastAsia="zh-CN" w:bidi="ar-SA"/>
        </w:rPr>
        <w:t>25.4.</w:t>
      </w: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4ED056EB">
      <w:pPr>
        <w:pageBreakBefore w:val="0"/>
        <w:kinsoku/>
        <w:wordWrap/>
        <w:topLinePunct w:val="0"/>
        <w:autoSpaceDE/>
        <w:autoSpaceDN/>
        <w:bidi w:val="0"/>
        <w:spacing w:line="400" w:lineRule="exact"/>
        <w:textAlignment w:val="auto"/>
        <w:rPr>
          <w:color w:val="auto"/>
          <w:highlight w:val="none"/>
        </w:rPr>
      </w:pPr>
    </w:p>
    <w:p w14:paraId="61174BC7">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2" w:name="_Toc19657"/>
      <w:r>
        <w:rPr>
          <w:rFonts w:hint="eastAsia" w:ascii="宋体" w:hAnsi="宋体" w:eastAsia="宋体"/>
          <w:color w:val="auto"/>
          <w:sz w:val="21"/>
          <w:szCs w:val="21"/>
          <w:highlight w:val="none"/>
        </w:rPr>
        <w:t>26.商务、技术、价格评审（具体评审项目详见投标资料表）</w:t>
      </w:r>
      <w:bookmarkEnd w:id="62"/>
    </w:p>
    <w:p w14:paraId="7E61F532">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26.1.</w:t>
      </w: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14:paraId="45AACD23">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26.2.</w:t>
      </w: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BBCA1A">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26.3.</w:t>
      </w:r>
      <w:r>
        <w:rPr>
          <w:rFonts w:hint="eastAsia" w:ascii="宋体" w:hAnsi="宋体" w:eastAsia="宋体"/>
          <w:color w:val="auto"/>
          <w:sz w:val="21"/>
          <w:szCs w:val="21"/>
          <w:highlight w:val="none"/>
        </w:rPr>
        <w:t>投标文件报价出现前后不一致的，评标委员会按照下列规定修正：</w:t>
      </w:r>
    </w:p>
    <w:p w14:paraId="2431665D">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26.4.</w:t>
      </w:r>
      <w:r>
        <w:rPr>
          <w:rFonts w:hint="eastAsia" w:ascii="宋体" w:hAnsi="宋体" w:eastAsia="宋体"/>
          <w:color w:val="auto"/>
          <w:sz w:val="21"/>
          <w:szCs w:val="21"/>
          <w:highlight w:val="none"/>
        </w:rPr>
        <w:t>投标文件中开标一览表（报价表）内容与投标文件中相应内容不一致的，以开标一览表（报价表）为准；</w:t>
      </w:r>
    </w:p>
    <w:p w14:paraId="5B90465A">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26.5.</w:t>
      </w:r>
      <w:r>
        <w:rPr>
          <w:rFonts w:hint="eastAsia" w:ascii="宋体" w:hAnsi="宋体" w:eastAsia="宋体"/>
          <w:color w:val="auto"/>
          <w:sz w:val="21"/>
          <w:szCs w:val="21"/>
          <w:highlight w:val="none"/>
        </w:rPr>
        <w:t>大写金额和小写金额不一致的，以大写金额为准；</w:t>
      </w:r>
    </w:p>
    <w:p w14:paraId="7AD8E783">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26.6.</w:t>
      </w:r>
      <w:r>
        <w:rPr>
          <w:rFonts w:hint="eastAsia" w:ascii="宋体" w:hAnsi="宋体" w:eastAsia="宋体"/>
          <w:color w:val="auto"/>
          <w:sz w:val="21"/>
          <w:szCs w:val="21"/>
          <w:highlight w:val="none"/>
        </w:rPr>
        <w:t>单价金额小数点或者百分比有明显错位的，以开标一览表的总价为准，并修改单价；</w:t>
      </w:r>
    </w:p>
    <w:p w14:paraId="1AB0126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26.7.</w:t>
      </w:r>
      <w:r>
        <w:rPr>
          <w:rFonts w:hint="eastAsia" w:ascii="宋体" w:hAnsi="宋体" w:eastAsia="宋体"/>
          <w:color w:val="auto"/>
          <w:sz w:val="21"/>
          <w:szCs w:val="21"/>
          <w:highlight w:val="none"/>
        </w:rPr>
        <w:t>总价金额与按单价汇总金额不一致的，以单价金额计算结果为准。</w:t>
      </w:r>
    </w:p>
    <w:p w14:paraId="7D41AB4A">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26.8.</w:t>
      </w: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14:paraId="09FC9155">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26.9.</w:t>
      </w: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00CBF9C">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26.10.</w:t>
      </w:r>
      <w:r>
        <w:rPr>
          <w:rFonts w:hint="eastAsia" w:ascii="宋体" w:hAnsi="宋体" w:eastAsia="宋体"/>
          <w:color w:val="auto"/>
          <w:sz w:val="21"/>
          <w:szCs w:val="21"/>
          <w:highlight w:val="none"/>
        </w:rPr>
        <w:t>使用综合评分法的采购项目，</w:t>
      </w:r>
      <w:r>
        <w:rPr>
          <w:rFonts w:hint="eastAsia" w:ascii="宋体" w:hAnsi="宋体" w:eastAsia="宋体"/>
          <w:color w:val="auto"/>
          <w:sz w:val="21"/>
          <w:szCs w:val="21"/>
          <w:highlight w:val="none"/>
          <w:lang w:eastAsia="zh-CN"/>
        </w:rPr>
        <w:t>核心产品</w:t>
      </w:r>
      <w:r>
        <w:rPr>
          <w:rFonts w:hint="eastAsia" w:ascii="宋体" w:hAnsi="宋体" w:eastAsia="宋体"/>
          <w:color w:val="auto"/>
          <w:sz w:val="21"/>
          <w:szCs w:val="21"/>
          <w:highlight w:val="none"/>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olor w:val="auto"/>
          <w:sz w:val="21"/>
          <w:szCs w:val="21"/>
          <w:highlight w:val="none"/>
          <w:lang w:eastAsia="zh-CN"/>
        </w:rPr>
        <w:t>。</w:t>
      </w:r>
    </w:p>
    <w:p w14:paraId="5EAE163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26.11.</w:t>
      </w:r>
      <w:r>
        <w:rPr>
          <w:rFonts w:hint="eastAsia" w:ascii="宋体" w:hAnsi="宋体" w:eastAsia="宋体"/>
          <w:color w:val="auto"/>
          <w:sz w:val="21"/>
          <w:szCs w:val="21"/>
          <w:highlight w:val="none"/>
          <w:lang w:eastAsia="zh-CN"/>
        </w:rPr>
        <w:t>核心产品</w:t>
      </w:r>
      <w:r>
        <w:rPr>
          <w:rFonts w:hint="eastAsia" w:ascii="宋体" w:hAnsi="宋体" w:eastAsia="宋体"/>
          <w:color w:val="auto"/>
          <w:sz w:val="21"/>
          <w:szCs w:val="21"/>
          <w:highlight w:val="none"/>
        </w:rPr>
        <w:t>提供相同品牌产品且通过资格审查、符合性审查的不同投标人参加同一合同项下投标</w:t>
      </w:r>
      <w:r>
        <w:rPr>
          <w:rFonts w:hint="eastAsia" w:ascii="宋体" w:hAnsi="宋体" w:eastAsia="宋体"/>
          <w:color w:val="auto"/>
          <w:sz w:val="21"/>
          <w:szCs w:val="21"/>
          <w:highlight w:val="none"/>
          <w:lang w:eastAsia="zh-CN"/>
        </w:rPr>
        <w:t>且</w:t>
      </w:r>
      <w:r>
        <w:rPr>
          <w:rFonts w:hint="eastAsia" w:ascii="宋体" w:hAnsi="宋体" w:eastAsia="宋体"/>
          <w:color w:val="auto"/>
          <w:sz w:val="21"/>
          <w:szCs w:val="21"/>
          <w:highlight w:val="none"/>
        </w:rPr>
        <w:t>评审得分相同的，按照评审因素的</w:t>
      </w:r>
      <w:r>
        <w:rPr>
          <w:rFonts w:hint="eastAsia" w:ascii="宋体" w:hAnsi="宋体" w:eastAsia="宋体"/>
          <w:color w:val="auto"/>
          <w:sz w:val="21"/>
          <w:szCs w:val="21"/>
          <w:highlight w:val="none"/>
          <w:lang w:eastAsia="zh-CN"/>
        </w:rPr>
        <w:t>技术</w:t>
      </w:r>
      <w:r>
        <w:rPr>
          <w:rFonts w:hint="eastAsia" w:ascii="宋体" w:hAnsi="宋体" w:eastAsia="宋体"/>
          <w:color w:val="auto"/>
          <w:sz w:val="21"/>
          <w:szCs w:val="21"/>
          <w:highlight w:val="none"/>
        </w:rPr>
        <w:t>评审得分最高的投标人为排名第一的中标候选人，其他同品牌投标人不作为中标候选人。</w:t>
      </w:r>
    </w:p>
    <w:p w14:paraId="22CC5146">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eastAsia="宋体"/>
          <w:color w:val="auto"/>
          <w:highlight w:val="none"/>
          <w:lang w:eastAsia="zh-CN"/>
        </w:rPr>
      </w:pPr>
      <w:r>
        <w:rPr>
          <w:rFonts w:hint="eastAsia" w:ascii="宋体" w:hAnsi="宋体" w:eastAsia="宋体" w:cstheme="minorBidi"/>
          <w:color w:val="auto"/>
          <w:sz w:val="22"/>
          <w:szCs w:val="22"/>
          <w:highlight w:val="none"/>
          <w:lang w:val="en-US" w:eastAsia="zh-CN" w:bidi="ar-SA"/>
        </w:rPr>
        <w:t>26.12.</w:t>
      </w:r>
      <w:r>
        <w:rPr>
          <w:rFonts w:hint="eastAsia" w:ascii="宋体" w:hAnsi="宋体" w:eastAsia="宋体"/>
          <w:color w:val="auto"/>
          <w:sz w:val="21"/>
          <w:szCs w:val="21"/>
          <w:highlight w:val="none"/>
        </w:rPr>
        <w:t>采用综合评分法的，评标结果按评审后得分由高到低顺序排列。</w:t>
      </w:r>
      <w:r>
        <w:rPr>
          <w:rFonts w:hint="eastAsia" w:ascii="宋体" w:hAnsi="宋体" w:eastAsia="宋体"/>
          <w:color w:val="auto"/>
          <w:sz w:val="21"/>
          <w:szCs w:val="21"/>
          <w:highlight w:val="none"/>
          <w:lang w:eastAsia="zh-CN"/>
        </w:rPr>
        <w:t>评审</w:t>
      </w:r>
      <w:r>
        <w:rPr>
          <w:rFonts w:hint="eastAsia" w:ascii="宋体" w:hAnsi="宋体" w:eastAsia="宋体"/>
          <w:color w:val="auto"/>
          <w:sz w:val="21"/>
          <w:szCs w:val="21"/>
          <w:highlight w:val="none"/>
        </w:rPr>
        <w:t>得分相同的，按投标报价</w:t>
      </w:r>
      <w:r>
        <w:rPr>
          <w:rFonts w:hint="eastAsia" w:ascii="宋体" w:hAnsi="宋体" w:eastAsia="宋体"/>
          <w:color w:val="auto"/>
          <w:sz w:val="21"/>
          <w:szCs w:val="21"/>
          <w:highlight w:val="none"/>
          <w:lang w:eastAsia="zh-CN"/>
        </w:rPr>
        <w:t>（投标原报价）</w:t>
      </w:r>
      <w:r>
        <w:rPr>
          <w:rFonts w:hint="eastAsia" w:ascii="宋体" w:hAnsi="宋体" w:eastAsia="宋体"/>
          <w:color w:val="auto"/>
          <w:sz w:val="21"/>
          <w:szCs w:val="21"/>
          <w:highlight w:val="none"/>
        </w:rPr>
        <w:t>由低到高顺序排列。</w:t>
      </w:r>
      <w:r>
        <w:rPr>
          <w:rFonts w:hint="eastAsia" w:ascii="宋体" w:hAnsi="宋体" w:eastAsia="宋体"/>
          <w:color w:val="auto"/>
          <w:sz w:val="21"/>
          <w:szCs w:val="21"/>
          <w:highlight w:val="none"/>
          <w:lang w:eastAsia="zh-CN"/>
        </w:rPr>
        <w:t>评审得分及投标报价均相同时，以随机抽取方式决定。</w:t>
      </w:r>
      <w:r>
        <w:rPr>
          <w:rFonts w:hint="eastAsia" w:ascii="宋体" w:hAnsi="宋体" w:eastAsia="宋体"/>
          <w:color w:val="auto"/>
          <w:sz w:val="21"/>
          <w:szCs w:val="21"/>
          <w:highlight w:val="none"/>
        </w:rPr>
        <w:t>投标文件满足招标文件全部实质性要求，且按照评审因素的量化指标评审得分最高的投标人为排名第一的中标候选人。</w:t>
      </w:r>
    </w:p>
    <w:p w14:paraId="68612E3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14:paraId="30701B54">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3" w:name="_Toc6456"/>
      <w:r>
        <w:rPr>
          <w:rFonts w:hint="eastAsia" w:ascii="宋体" w:hAnsi="宋体" w:eastAsia="宋体"/>
          <w:color w:val="auto"/>
          <w:sz w:val="21"/>
          <w:szCs w:val="21"/>
          <w:highlight w:val="none"/>
        </w:rPr>
        <w:t>27.优惠政策</w:t>
      </w:r>
      <w:bookmarkEnd w:id="63"/>
      <w:r>
        <w:rPr>
          <w:rFonts w:hint="eastAsia" w:ascii="宋体" w:hAnsi="宋体" w:eastAsia="宋体"/>
          <w:color w:val="auto"/>
          <w:sz w:val="21"/>
          <w:szCs w:val="21"/>
          <w:highlight w:val="none"/>
          <w:lang w:val="en-US" w:eastAsia="zh-CN"/>
        </w:rPr>
        <w:t>（无）</w:t>
      </w:r>
    </w:p>
    <w:p w14:paraId="2F0D6EE8">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p>
    <w:p w14:paraId="2A299A87">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4" w:name="_Toc316375620"/>
      <w:bookmarkStart w:id="65" w:name="_Toc382049120"/>
      <w:bookmarkStart w:id="66" w:name="_Toc20328"/>
      <w:bookmarkStart w:id="67" w:name="_Toc589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4"/>
      <w:r>
        <w:rPr>
          <w:rFonts w:hint="eastAsia" w:ascii="宋体" w:hAnsi="宋体" w:eastAsia="宋体"/>
          <w:color w:val="auto"/>
          <w:sz w:val="21"/>
          <w:szCs w:val="21"/>
          <w:highlight w:val="none"/>
        </w:rPr>
        <w:t>事项</w:t>
      </w:r>
      <w:bookmarkEnd w:id="65"/>
      <w:bookmarkEnd w:id="66"/>
      <w:bookmarkEnd w:id="67"/>
    </w:p>
    <w:p w14:paraId="145895F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28.1.</w:t>
      </w: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7E0E1956">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28.2.</w:t>
      </w: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14:paraId="1FC7CA2B">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28.3.</w:t>
      </w: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14:paraId="1F1EB5C4">
      <w:pPr>
        <w:pageBreakBefore w:val="0"/>
        <w:kinsoku/>
        <w:topLinePunct w:val="0"/>
        <w:autoSpaceDE/>
        <w:autoSpaceDN/>
        <w:bidi w:val="0"/>
        <w:spacing w:line="360" w:lineRule="auto"/>
        <w:rPr>
          <w:color w:val="auto"/>
          <w:highlight w:val="none"/>
        </w:rPr>
      </w:pPr>
    </w:p>
    <w:p w14:paraId="636342DA">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68" w:name="_Toc21732"/>
      <w:r>
        <w:rPr>
          <w:rFonts w:hint="eastAsia" w:ascii="宋体" w:hAnsi="宋体" w:eastAsia="宋体"/>
          <w:color w:val="auto"/>
          <w:highlight w:val="none"/>
        </w:rPr>
        <w:t>授予合同</w:t>
      </w:r>
      <w:bookmarkEnd w:id="68"/>
    </w:p>
    <w:p w14:paraId="54DD2FA8">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69" w:name="_Toc508284011"/>
      <w:bookmarkStart w:id="70" w:name="_Toc4954"/>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9"/>
      <w:bookmarkEnd w:id="70"/>
    </w:p>
    <w:p w14:paraId="56B85713">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29.1.</w:t>
      </w: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14:paraId="15A8A14C">
      <w:pPr>
        <w:pageBreakBefore w:val="0"/>
        <w:kinsoku/>
        <w:wordWrap/>
        <w:topLinePunct w:val="0"/>
        <w:autoSpaceDE/>
        <w:autoSpaceDN/>
        <w:bidi w:val="0"/>
        <w:spacing w:line="400" w:lineRule="exact"/>
        <w:textAlignment w:val="auto"/>
        <w:rPr>
          <w:color w:val="auto"/>
          <w:highlight w:val="none"/>
        </w:rPr>
      </w:pPr>
    </w:p>
    <w:p w14:paraId="7A99748D">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1" w:name="_Toc22043"/>
      <w:bookmarkStart w:id="72" w:name="_Toc508284013"/>
      <w:r>
        <w:rPr>
          <w:rFonts w:hint="eastAsia" w:ascii="宋体" w:hAnsi="宋体" w:eastAsia="宋体"/>
          <w:color w:val="auto"/>
          <w:sz w:val="21"/>
          <w:szCs w:val="21"/>
          <w:highlight w:val="none"/>
        </w:rPr>
        <w:t>30.发布采购结果</w:t>
      </w:r>
      <w:bookmarkEnd w:id="71"/>
      <w:bookmarkEnd w:id="72"/>
    </w:p>
    <w:p w14:paraId="44598906">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30.1.</w:t>
      </w: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14:paraId="359C287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30.2.</w:t>
      </w:r>
      <w:r>
        <w:rPr>
          <w:rFonts w:hint="eastAsia" w:ascii="宋体" w:hAnsi="宋体" w:eastAsia="宋体"/>
          <w:color w:val="auto"/>
          <w:sz w:val="21"/>
          <w:szCs w:val="21"/>
          <w:highlight w:val="none"/>
        </w:rPr>
        <w:t>中标公告期限为1个工作日。</w:t>
      </w:r>
    </w:p>
    <w:p w14:paraId="23FDDC55">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30.3.</w:t>
      </w:r>
      <w:r>
        <w:rPr>
          <w:rFonts w:hint="eastAsia" w:ascii="宋体" w:hAnsi="宋体" w:eastAsia="宋体"/>
          <w:color w:val="auto"/>
          <w:sz w:val="21"/>
          <w:szCs w:val="21"/>
          <w:highlight w:val="none"/>
          <w:lang w:eastAsia="zh-CN"/>
        </w:rPr>
        <w:t>结果公示发布后，中标单位应及时领取中标通知书。</w:t>
      </w:r>
      <w:r>
        <w:rPr>
          <w:rFonts w:hint="eastAsia" w:ascii="宋体" w:hAnsi="宋体" w:eastAsia="宋体"/>
          <w:color w:val="auto"/>
          <w:sz w:val="21"/>
          <w:szCs w:val="21"/>
          <w:highlight w:val="none"/>
        </w:rPr>
        <w:t>《中标通知书》是合同的一个组成部分，《中标通知书》对采购人和中标人均具有同等法律效力。</w:t>
      </w:r>
    </w:p>
    <w:p w14:paraId="7BC1BF3A">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30.4.</w:t>
      </w:r>
      <w:r>
        <w:rPr>
          <w:rFonts w:hint="eastAsia" w:ascii="宋体" w:hAnsi="宋体" w:eastAsia="宋体"/>
          <w:color w:val="auto"/>
          <w:sz w:val="21"/>
          <w:szCs w:val="21"/>
          <w:highlight w:val="none"/>
        </w:rPr>
        <w:t>中标人无正当理由不得放弃中标</w:t>
      </w:r>
      <w:r>
        <w:rPr>
          <w:rFonts w:hint="eastAsia" w:ascii="宋体" w:hAnsi="宋体" w:eastAsia="宋体"/>
          <w:color w:val="auto"/>
          <w:sz w:val="21"/>
          <w:szCs w:val="21"/>
          <w:highlight w:val="none"/>
          <w:lang w:eastAsia="zh-CN"/>
        </w:rPr>
        <w:t>，因中标人放弃中标而对采购人造成的损失由放弃中标的中标人承担。</w:t>
      </w:r>
    </w:p>
    <w:p w14:paraId="595EC034">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30.5.</w:t>
      </w: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14:paraId="4DBF0A2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heme="minorBidi"/>
          <w:b w:val="0"/>
          <w:bCs w:val="0"/>
          <w:color w:val="auto"/>
          <w:sz w:val="21"/>
          <w:szCs w:val="21"/>
          <w:highlight w:val="none"/>
          <w:lang w:val="en-US" w:eastAsia="zh-CN" w:bidi="ar-SA"/>
        </w:rPr>
        <w:t>30.6.</w:t>
      </w:r>
      <w:r>
        <w:rPr>
          <w:rFonts w:hint="eastAsia" w:ascii="宋体" w:hAnsi="宋体" w:eastAsia="宋体"/>
          <w:b w:val="0"/>
          <w:bCs w:val="0"/>
          <w:color w:val="auto"/>
          <w:sz w:val="21"/>
          <w:szCs w:val="21"/>
          <w:highlight w:val="none"/>
          <w:lang w:eastAsia="zh-CN"/>
        </w:rPr>
        <w:t>原件核查</w:t>
      </w:r>
    </w:p>
    <w:p w14:paraId="11412FC2">
      <w:pPr>
        <w:pageBreakBefore w:val="0"/>
        <w:widowControl w:val="0"/>
        <w:numPr>
          <w:ilvl w:val="2"/>
          <w:numId w:val="0"/>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heme="minorBidi"/>
          <w:b w:val="0"/>
          <w:bCs w:val="0"/>
          <w:color w:val="auto"/>
          <w:sz w:val="21"/>
          <w:szCs w:val="21"/>
          <w:highlight w:val="none"/>
          <w:lang w:val="en-US" w:eastAsia="zh-CN" w:bidi="ar-SA"/>
        </w:rPr>
        <w:t>30.6.1.</w:t>
      </w: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或采购人有权对</w:t>
      </w:r>
      <w:r>
        <w:rPr>
          <w:rFonts w:hint="eastAsia" w:ascii="宋体" w:hAnsi="宋体" w:eastAsia="宋体"/>
          <w:b w:val="0"/>
          <w:bCs w:val="0"/>
          <w:color w:val="auto"/>
          <w:sz w:val="21"/>
          <w:szCs w:val="21"/>
          <w:highlight w:val="none"/>
          <w:lang w:eastAsia="zh-CN"/>
        </w:rPr>
        <w:t>中标单位</w:t>
      </w:r>
      <w:r>
        <w:rPr>
          <w:rFonts w:hint="eastAsia" w:ascii="宋体" w:hAnsi="宋体" w:eastAsia="宋体"/>
          <w:b w:val="0"/>
          <w:bCs w:val="0"/>
          <w:color w:val="auto"/>
          <w:sz w:val="21"/>
          <w:szCs w:val="21"/>
          <w:highlight w:val="none"/>
          <w:lang w:val="en-US" w:eastAsia="zh-CN"/>
        </w:rPr>
        <w:t>进行原件核查，中标单位应</w:t>
      </w:r>
      <w:r>
        <w:rPr>
          <w:rFonts w:hint="eastAsia" w:ascii="宋体" w:hAnsi="宋体" w:eastAsia="宋体"/>
          <w:b w:val="0"/>
          <w:bCs w:val="0"/>
          <w:color w:val="auto"/>
          <w:sz w:val="21"/>
          <w:szCs w:val="21"/>
          <w:highlight w:val="none"/>
          <w:lang w:eastAsia="zh-CN"/>
        </w:rPr>
        <w:t>在五个工作日</w:t>
      </w:r>
      <w:r>
        <w:rPr>
          <w:rFonts w:hint="eastAsia" w:ascii="宋体" w:hAnsi="宋体" w:eastAsia="宋体"/>
          <w:b w:val="0"/>
          <w:bCs w:val="0"/>
          <w:color w:val="auto"/>
          <w:sz w:val="21"/>
          <w:szCs w:val="21"/>
          <w:highlight w:val="none"/>
          <w:lang w:val="en-US" w:eastAsia="zh-CN"/>
        </w:rPr>
        <w:t>内把相关原件递交至采购代理机构</w:t>
      </w:r>
      <w:r>
        <w:rPr>
          <w:rFonts w:hint="eastAsia" w:ascii="宋体" w:hAnsi="宋体" w:eastAsia="宋体"/>
          <w:b w:val="0"/>
          <w:bCs w:val="0"/>
          <w:color w:val="auto"/>
          <w:sz w:val="21"/>
          <w:szCs w:val="21"/>
          <w:highlight w:val="none"/>
          <w:lang w:eastAsia="zh-CN"/>
        </w:rPr>
        <w:t>办公地址或采购人指定地址进行核查。</w:t>
      </w:r>
    </w:p>
    <w:p w14:paraId="029F149A">
      <w:pPr>
        <w:pageBreakBefore w:val="0"/>
        <w:widowControl w:val="0"/>
        <w:numPr>
          <w:ilvl w:val="2"/>
          <w:numId w:val="0"/>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heme="minorBidi"/>
          <w:b w:val="0"/>
          <w:bCs w:val="0"/>
          <w:color w:val="auto"/>
          <w:sz w:val="21"/>
          <w:szCs w:val="21"/>
          <w:highlight w:val="none"/>
          <w:lang w:val="en-US" w:eastAsia="zh-CN" w:bidi="ar-SA"/>
        </w:rPr>
        <w:t>30.6.2.</w:t>
      </w:r>
      <w:r>
        <w:rPr>
          <w:rFonts w:hint="eastAsia" w:ascii="宋体" w:hAnsi="宋体" w:eastAsia="宋体"/>
          <w:b w:val="0"/>
          <w:bCs w:val="0"/>
          <w:color w:val="auto"/>
          <w:sz w:val="21"/>
          <w:szCs w:val="21"/>
          <w:highlight w:val="none"/>
          <w:lang w:eastAsia="zh-CN"/>
        </w:rPr>
        <w:t>中标单位有下列情形之一的，取消中标资格：</w:t>
      </w:r>
    </w:p>
    <w:p w14:paraId="46A3A207">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拒绝采购人或采购代理机构原件核查要求的；</w:t>
      </w:r>
    </w:p>
    <w:p w14:paraId="0A5DB313">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未在规定时间内将原件递交到到采购代理机构办公地址或采购人指定地址进行核查的；</w:t>
      </w:r>
    </w:p>
    <w:p w14:paraId="618B5404">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在规定时间内递交的原件数量、内容与采购人、采购代理机构要求不一致的；</w:t>
      </w:r>
    </w:p>
    <w:p w14:paraId="025FD92E">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val="en-US" w:eastAsia="zh-CN"/>
        </w:rPr>
        <w:t>因原件续期、更改等原因不能按时递交原件且未能在规定时间内提供相应部门开具的变更、续期等证明的；</w:t>
      </w:r>
    </w:p>
    <w:p w14:paraId="49C3EB9F">
      <w:pPr>
        <w:pageBreakBefore w:val="0"/>
        <w:widowControl w:val="0"/>
        <w:numPr>
          <w:ilvl w:val="0"/>
          <w:numId w:val="5"/>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经查原件，投标文件内容有造假行为的。</w:t>
      </w:r>
    </w:p>
    <w:p w14:paraId="13B972B3">
      <w:pPr>
        <w:pageBreakBefore w:val="0"/>
        <w:widowControl w:val="0"/>
        <w:numPr>
          <w:ilvl w:val="2"/>
          <w:numId w:val="0"/>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heme="minorBidi"/>
          <w:b w:val="0"/>
          <w:bCs w:val="0"/>
          <w:color w:val="auto"/>
          <w:sz w:val="21"/>
          <w:szCs w:val="21"/>
          <w:highlight w:val="none"/>
          <w:lang w:val="en-US" w:eastAsia="zh-CN" w:bidi="ar-SA"/>
        </w:rPr>
        <w:t>30.6.3.</w:t>
      </w:r>
      <w:r>
        <w:rPr>
          <w:rFonts w:hint="eastAsia" w:ascii="宋体" w:hAnsi="宋体" w:eastAsia="宋体"/>
          <w:b w:val="0"/>
          <w:bCs w:val="0"/>
          <w:color w:val="auto"/>
          <w:sz w:val="21"/>
          <w:szCs w:val="21"/>
          <w:highlight w:val="none"/>
          <w:lang w:eastAsia="zh-CN"/>
        </w:rPr>
        <w:t>采购结果发布后，采购代理机构</w:t>
      </w:r>
      <w:r>
        <w:rPr>
          <w:rFonts w:hint="eastAsia" w:ascii="宋体" w:hAnsi="宋体" w:eastAsia="宋体"/>
          <w:b w:val="0"/>
          <w:bCs w:val="0"/>
          <w:color w:val="auto"/>
          <w:sz w:val="21"/>
          <w:szCs w:val="21"/>
          <w:highlight w:val="none"/>
          <w:lang w:val="en-US" w:eastAsia="zh-CN"/>
        </w:rPr>
        <w:t>或</w:t>
      </w:r>
      <w:r>
        <w:rPr>
          <w:rFonts w:hint="eastAsia" w:ascii="宋体" w:hAnsi="宋体" w:eastAsia="宋体"/>
          <w:b w:val="0"/>
          <w:bCs w:val="0"/>
          <w:color w:val="auto"/>
          <w:sz w:val="21"/>
          <w:szCs w:val="21"/>
          <w:highlight w:val="none"/>
          <w:lang w:eastAsia="zh-CN"/>
        </w:rPr>
        <w:t>采购人有权对递交了投标文件的未中标投标人进行原件核查。投标人应在采购代理机构或采购人发出纸质通知五个工作日内将原件递交到采购代理机构办公地址或采购人指定地址进行核查。</w:t>
      </w:r>
    </w:p>
    <w:p w14:paraId="4DDEF64D">
      <w:pPr>
        <w:pageBreakBefore w:val="0"/>
        <w:widowControl w:val="0"/>
        <w:numPr>
          <w:ilvl w:val="2"/>
          <w:numId w:val="0"/>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sz w:val="21"/>
          <w:szCs w:val="21"/>
          <w:highlight w:val="none"/>
          <w:lang w:eastAsia="zh-CN"/>
        </w:rPr>
      </w:pPr>
      <w:r>
        <w:rPr>
          <w:rFonts w:hint="eastAsia" w:ascii="宋体" w:hAnsi="宋体" w:eastAsia="宋体" w:cstheme="minorBidi"/>
          <w:b/>
          <w:bCs/>
          <w:color w:val="auto"/>
          <w:sz w:val="21"/>
          <w:szCs w:val="21"/>
          <w:highlight w:val="none"/>
          <w:lang w:val="en-US" w:eastAsia="zh-CN" w:bidi="ar-SA"/>
        </w:rPr>
        <w:t>30.6.4.</w:t>
      </w:r>
      <w:r>
        <w:rPr>
          <w:rFonts w:hint="eastAsia" w:ascii="宋体" w:hAnsi="宋体" w:eastAsia="宋体"/>
          <w:b/>
          <w:bCs/>
          <w:color w:val="auto"/>
          <w:sz w:val="21"/>
          <w:szCs w:val="21"/>
          <w:highlight w:val="none"/>
          <w:lang w:eastAsia="zh-CN"/>
        </w:rPr>
        <w:t>若投标人出现虚假应标情况，投标文件作无效处理，其投标、中标无效。并参照相关法律上报相关监管部门。</w:t>
      </w:r>
    </w:p>
    <w:p w14:paraId="3AF79E6E">
      <w:pPr>
        <w:pageBreakBefore w:val="0"/>
        <w:widowControl w:val="0"/>
        <w:numPr>
          <w:ilvl w:val="2"/>
          <w:numId w:val="0"/>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b w:val="0"/>
          <w:bCs w:val="0"/>
          <w:color w:val="auto"/>
          <w:highlight w:val="none"/>
          <w:lang w:eastAsia="zh-CN"/>
        </w:rPr>
      </w:pPr>
      <w:r>
        <w:rPr>
          <w:rFonts w:hint="eastAsia" w:ascii="宋体" w:hAnsi="宋体" w:eastAsia="宋体" w:cstheme="minorBidi"/>
          <w:b w:val="0"/>
          <w:bCs w:val="0"/>
          <w:color w:val="auto"/>
          <w:sz w:val="22"/>
          <w:szCs w:val="22"/>
          <w:highlight w:val="none"/>
          <w:lang w:val="en-US" w:eastAsia="zh-CN" w:bidi="ar-SA"/>
        </w:rPr>
        <w:t>30.6.5.</w:t>
      </w:r>
      <w:r>
        <w:rPr>
          <w:rFonts w:hint="eastAsia" w:ascii="宋体" w:hAnsi="宋体" w:eastAsia="宋体"/>
          <w:b w:val="0"/>
          <w:bCs w:val="0"/>
          <w:color w:val="auto"/>
          <w:sz w:val="21"/>
          <w:szCs w:val="21"/>
          <w:highlight w:val="none"/>
          <w:lang w:eastAsia="zh-CN"/>
        </w:rPr>
        <w:t>属于建办市函[2016]462号通知内的证件可不提供原件，仅提供带二维码原件的复印件即可。</w:t>
      </w:r>
    </w:p>
    <w:p w14:paraId="6C743373">
      <w:pPr>
        <w:pageBreakBefore w:val="0"/>
        <w:kinsoku/>
        <w:wordWrap/>
        <w:topLinePunct w:val="0"/>
        <w:autoSpaceDE/>
        <w:autoSpaceDN/>
        <w:bidi w:val="0"/>
        <w:spacing w:line="400" w:lineRule="exact"/>
        <w:textAlignment w:val="auto"/>
        <w:rPr>
          <w:color w:val="auto"/>
          <w:highlight w:val="none"/>
        </w:rPr>
      </w:pPr>
    </w:p>
    <w:p w14:paraId="1D517643">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3" w:name="_Toc8411"/>
      <w:r>
        <w:rPr>
          <w:rFonts w:hint="eastAsia" w:ascii="宋体" w:hAnsi="宋体" w:eastAsia="宋体"/>
          <w:color w:val="auto"/>
          <w:sz w:val="21"/>
          <w:szCs w:val="21"/>
          <w:highlight w:val="none"/>
        </w:rPr>
        <w:t>31.合同的签订与履行</w:t>
      </w:r>
      <w:bookmarkEnd w:id="73"/>
    </w:p>
    <w:p w14:paraId="1FAB3888">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31.1.</w:t>
      </w: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14:paraId="29BD2D4C">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31.2.</w:t>
      </w:r>
      <w:r>
        <w:rPr>
          <w:rFonts w:hint="eastAsia" w:ascii="宋体" w:hAnsi="宋体" w:eastAsia="宋体"/>
          <w:color w:val="auto"/>
          <w:sz w:val="21"/>
          <w:szCs w:val="21"/>
          <w:highlight w:val="none"/>
        </w:rPr>
        <w:t>采购人与中标人应当根据合同的约定依法履行合同义务。</w:t>
      </w:r>
    </w:p>
    <w:p w14:paraId="2ED06E54">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31.3.</w:t>
      </w: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14:paraId="7BA7AA18">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sz w:val="21"/>
          <w:szCs w:val="21"/>
          <w:highlight w:val="none"/>
        </w:rPr>
      </w:pPr>
      <w:r>
        <w:rPr>
          <w:rFonts w:hint="eastAsia" w:ascii="宋体" w:hAnsi="宋体" w:eastAsia="宋体" w:cstheme="minorBidi"/>
          <w:b/>
          <w:color w:val="auto"/>
          <w:sz w:val="21"/>
          <w:szCs w:val="21"/>
          <w:highlight w:val="none"/>
          <w:lang w:val="en-US" w:eastAsia="zh-CN" w:bidi="ar-SA"/>
        </w:rPr>
        <w:t>31.4.</w:t>
      </w:r>
      <w:r>
        <w:rPr>
          <w:rFonts w:hint="eastAsia" w:ascii="宋体" w:hAnsi="宋体" w:eastAsia="宋体"/>
          <w:b/>
          <w:color w:val="auto"/>
          <w:sz w:val="21"/>
          <w:szCs w:val="21"/>
          <w:highlight w:val="none"/>
        </w:rPr>
        <w:t>合同签订之日起2个工作日内，中标人应将所签订的合同副本（加盖公章）交至三方诚信招标有限公司东莞分公司归档。</w:t>
      </w:r>
    </w:p>
    <w:p w14:paraId="6B135EA9">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31.5.</w:t>
      </w: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137EC71">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stheme="minorBidi"/>
          <w:color w:val="auto"/>
          <w:sz w:val="21"/>
          <w:szCs w:val="21"/>
          <w:highlight w:val="none"/>
          <w:lang w:val="en-US" w:eastAsia="zh-CN" w:bidi="ar-SA"/>
        </w:rPr>
        <w:t>31.6.</w:t>
      </w:r>
      <w:r>
        <w:rPr>
          <w:rFonts w:hint="eastAsia" w:ascii="宋体" w:hAnsi="宋体" w:eastAsia="宋体"/>
          <w:color w:val="auto"/>
          <w:sz w:val="21"/>
          <w:szCs w:val="21"/>
          <w:highlight w:val="none"/>
        </w:rPr>
        <w:t>中标投标人在评审结束当天至合同履行结束，若因不可抗力的因素（如国家出台新法律法规等）造</w:t>
      </w:r>
      <w:r>
        <w:rPr>
          <w:rFonts w:hint="eastAsia" w:ascii="宋体" w:hAnsi="宋体" w:eastAsia="宋体"/>
          <w:color w:val="auto"/>
          <w:sz w:val="21"/>
          <w:szCs w:val="21"/>
          <w:highlight w:val="none"/>
          <w:lang w:eastAsia="zh-CN"/>
        </w:rPr>
        <w:t>成投标人资质的变动，投标人应以纸质版形式通知采购人。若资质变动导致中标投标人不再具备履行合同资质要求，采购人有权中止合同。</w:t>
      </w:r>
    </w:p>
    <w:p w14:paraId="76D2D258">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sz w:val="21"/>
          <w:szCs w:val="21"/>
          <w:highlight w:val="none"/>
          <w:lang w:eastAsia="zh-CN"/>
        </w:rPr>
      </w:pPr>
      <w:r>
        <w:rPr>
          <w:rFonts w:hint="eastAsia" w:ascii="宋体" w:hAnsi="宋体" w:eastAsia="宋体" w:cstheme="minorBidi"/>
          <w:color w:val="auto"/>
          <w:sz w:val="21"/>
          <w:szCs w:val="21"/>
          <w:highlight w:val="none"/>
          <w:lang w:val="en-US" w:eastAsia="zh-CN" w:bidi="ar-SA"/>
        </w:rPr>
        <w:t>31.7.</w:t>
      </w:r>
      <w:r>
        <w:rPr>
          <w:rFonts w:hint="eastAsia" w:ascii="宋体" w:hAnsi="宋体" w:eastAsia="宋体"/>
          <w:color w:val="auto"/>
          <w:sz w:val="21"/>
          <w:szCs w:val="21"/>
          <w:highlight w:val="none"/>
          <w:lang w:eastAsia="zh-CN"/>
        </w:rPr>
        <w:t>中标人拒绝与采购人签订合同的，采购人可以按照评审报告推荐的中标候选人名单排序，确定下一候选人为中标人，也可以重新开展政府采购活动。</w:t>
      </w:r>
    </w:p>
    <w:p w14:paraId="422061D4">
      <w:pPr>
        <w:pageBreakBefore w:val="0"/>
        <w:kinsoku/>
        <w:wordWrap/>
        <w:topLinePunct w:val="0"/>
        <w:autoSpaceDE/>
        <w:autoSpaceDN/>
        <w:bidi w:val="0"/>
        <w:spacing w:line="400" w:lineRule="exact"/>
        <w:textAlignment w:val="auto"/>
        <w:rPr>
          <w:color w:val="auto"/>
          <w:highlight w:val="none"/>
        </w:rPr>
      </w:pPr>
    </w:p>
    <w:p w14:paraId="7397A6ED">
      <w:pPr>
        <w:pStyle w:val="5"/>
        <w:pageBreakBefore w:val="0"/>
        <w:widowControl w:val="0"/>
        <w:kinsoku/>
        <w:wordWrap/>
        <w:overflowPunct w:val="0"/>
        <w:topLinePunct w:val="0"/>
        <w:autoSpaceDE/>
        <w:autoSpaceDN/>
        <w:bidi w:val="0"/>
        <w:spacing w:before="0" w:after="0" w:line="400" w:lineRule="exact"/>
        <w:textAlignment w:val="auto"/>
        <w:rPr>
          <w:rFonts w:hint="eastAsia" w:ascii="宋体" w:hAnsi="宋体" w:eastAsia="宋体"/>
          <w:color w:val="auto"/>
          <w:sz w:val="21"/>
          <w:szCs w:val="21"/>
          <w:highlight w:val="none"/>
          <w:lang w:eastAsia="zh-CN"/>
        </w:rPr>
      </w:pPr>
      <w:bookmarkStart w:id="74" w:name="_Toc303084277"/>
      <w:bookmarkStart w:id="75" w:name="_Toc382049124"/>
      <w:bookmarkStart w:id="76" w:name="_Toc8004"/>
      <w:bookmarkStart w:id="77"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4"/>
      <w:bookmarkEnd w:id="75"/>
      <w:bookmarkEnd w:id="76"/>
      <w:bookmarkEnd w:id="77"/>
      <w:r>
        <w:rPr>
          <w:rFonts w:hint="eastAsia" w:ascii="宋体" w:hAnsi="宋体" w:eastAsia="宋体"/>
          <w:color w:val="auto"/>
          <w:sz w:val="21"/>
          <w:szCs w:val="21"/>
          <w:highlight w:val="none"/>
          <w:lang w:eastAsia="zh-CN"/>
        </w:rPr>
        <w:t>（如有）</w:t>
      </w:r>
    </w:p>
    <w:p w14:paraId="54094E0E">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32.1.</w:t>
      </w: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14:paraId="3ACD33F1">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32.2.</w:t>
      </w:r>
      <w:r>
        <w:rPr>
          <w:rFonts w:hint="eastAsia" w:ascii="宋体" w:hAnsi="宋体" w:eastAsia="宋体"/>
          <w:color w:val="auto"/>
          <w:sz w:val="21"/>
          <w:szCs w:val="21"/>
          <w:highlight w:val="none"/>
        </w:rPr>
        <w:t>采用保证金（银行</w:t>
      </w:r>
      <w:r>
        <w:rPr>
          <w:rFonts w:hint="eastAsia" w:ascii="宋体" w:hAnsi="宋体" w:eastAsia="宋体"/>
          <w:color w:val="auto"/>
          <w:sz w:val="21"/>
          <w:szCs w:val="21"/>
          <w:highlight w:val="none"/>
          <w:lang w:eastAsia="zh-CN"/>
        </w:rPr>
        <w:t>转账</w:t>
      </w:r>
      <w:r>
        <w:rPr>
          <w:rFonts w:hint="eastAsia" w:ascii="宋体" w:hAnsi="宋体" w:eastAsia="宋体"/>
          <w:color w:val="auto"/>
          <w:sz w:val="21"/>
          <w:szCs w:val="21"/>
          <w:highlight w:val="none"/>
        </w:rPr>
        <w:t>、电汇）方式：中标人必须保证资金在签订合同前到</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。履约保证金账户采购人另行通知，到期后无息退还。</w:t>
      </w:r>
    </w:p>
    <w:p w14:paraId="5FFF3347">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32.3.</w:t>
      </w: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14:paraId="7961AE23">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32.4.</w:t>
      </w: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14:paraId="4B0DA149">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32.5.</w:t>
      </w: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退还手续。</w:t>
      </w:r>
    </w:p>
    <w:p w14:paraId="1FFF88B0">
      <w:pPr>
        <w:pageBreakBefore w:val="0"/>
        <w:kinsoku/>
        <w:topLinePunct w:val="0"/>
        <w:autoSpaceDE/>
        <w:autoSpaceDN/>
        <w:bidi w:val="0"/>
        <w:spacing w:line="360" w:lineRule="auto"/>
        <w:rPr>
          <w:color w:val="auto"/>
          <w:highlight w:val="none"/>
        </w:rPr>
      </w:pPr>
    </w:p>
    <w:p w14:paraId="6063386F">
      <w:pPr>
        <w:pStyle w:val="4"/>
        <w:keepNext/>
        <w:keepLines/>
        <w:pageBreakBefore w:val="0"/>
        <w:widowControl/>
        <w:numPr>
          <w:ilvl w:val="0"/>
          <w:numId w:val="2"/>
        </w:numPr>
        <w:kinsoku/>
        <w:wordWrap/>
        <w:overflowPunct/>
        <w:topLinePunct w:val="0"/>
        <w:autoSpaceDE/>
        <w:autoSpaceDN/>
        <w:bidi w:val="0"/>
        <w:adjustRightInd w:val="0"/>
        <w:snapToGrid w:val="0"/>
        <w:spacing w:before="0" w:after="0" w:line="360" w:lineRule="auto"/>
        <w:ind w:left="0" w:firstLine="0"/>
        <w:jc w:val="center"/>
        <w:textAlignment w:val="auto"/>
        <w:rPr>
          <w:rFonts w:ascii="宋体" w:hAnsi="宋体" w:eastAsia="宋体"/>
          <w:color w:val="auto"/>
          <w:highlight w:val="none"/>
        </w:rPr>
      </w:pPr>
      <w:bookmarkStart w:id="78" w:name="_Toc5276"/>
      <w:r>
        <w:rPr>
          <w:rFonts w:hint="eastAsia" w:ascii="宋体" w:hAnsi="宋体" w:eastAsia="宋体"/>
          <w:color w:val="auto"/>
          <w:highlight w:val="none"/>
        </w:rPr>
        <w:t>其他</w:t>
      </w:r>
      <w:bookmarkEnd w:id="78"/>
    </w:p>
    <w:p w14:paraId="063664AD">
      <w:pPr>
        <w:pStyle w:val="5"/>
        <w:pageBreakBefore w:val="0"/>
        <w:widowControl w:val="0"/>
        <w:kinsoku/>
        <w:wordWrap/>
        <w:overflowPunct w:val="0"/>
        <w:topLinePunct w:val="0"/>
        <w:autoSpaceDE/>
        <w:autoSpaceDN/>
        <w:bidi w:val="0"/>
        <w:spacing w:before="0" w:after="0" w:line="400" w:lineRule="exact"/>
        <w:textAlignment w:val="auto"/>
        <w:rPr>
          <w:rFonts w:ascii="宋体" w:hAnsi="宋体" w:eastAsia="宋体"/>
          <w:color w:val="auto"/>
          <w:sz w:val="21"/>
          <w:szCs w:val="21"/>
          <w:highlight w:val="none"/>
        </w:rPr>
      </w:pPr>
      <w:bookmarkStart w:id="79" w:name="_Toc19434"/>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.招标文件的解释权</w:t>
      </w:r>
      <w:bookmarkEnd w:id="79"/>
    </w:p>
    <w:p w14:paraId="018DEA0F">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33.1.</w:t>
      </w:r>
      <w:r>
        <w:rPr>
          <w:rFonts w:hint="eastAsia" w:ascii="宋体" w:hAnsi="宋体" w:eastAsia="宋体"/>
          <w:color w:val="auto"/>
          <w:sz w:val="21"/>
          <w:szCs w:val="21"/>
          <w:highlight w:val="none"/>
        </w:rPr>
        <w:t>招标文件版本号：三方诚信</w:t>
      </w:r>
      <w:r>
        <w:rPr>
          <w:rFonts w:hint="eastAsia" w:ascii="宋体" w:hAnsi="宋体" w:eastAsia="宋体"/>
          <w:color w:val="auto"/>
          <w:sz w:val="21"/>
          <w:szCs w:val="21"/>
          <w:highlight w:val="none"/>
          <w:lang w:eastAsia="zh-CN"/>
        </w:rPr>
        <w:t>202</w:t>
      </w:r>
      <w:r>
        <w:rPr>
          <w:rFonts w:hint="eastAsia" w:ascii="宋体" w:hAnsi="宋体" w:eastAsia="宋体"/>
          <w:color w:val="auto"/>
          <w:sz w:val="21"/>
          <w:szCs w:val="21"/>
          <w:highlight w:val="none"/>
          <w:lang w:val="en-US" w:eastAsia="zh-CN"/>
        </w:rPr>
        <w:t>50106</w:t>
      </w:r>
      <w:r>
        <w:rPr>
          <w:rFonts w:hint="eastAsia" w:ascii="宋体" w:hAnsi="宋体" w:eastAsia="宋体"/>
          <w:color w:val="auto"/>
          <w:sz w:val="21"/>
          <w:szCs w:val="21"/>
          <w:highlight w:val="none"/>
        </w:rPr>
        <w:t>。</w:t>
      </w:r>
    </w:p>
    <w:p w14:paraId="598E24FC">
      <w:pPr>
        <w:pageBreakBefore w:val="0"/>
        <w:widowControl w:val="0"/>
        <w:numPr>
          <w:ilvl w:val="1"/>
          <w:numId w:val="0"/>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33.2.</w:t>
      </w:r>
      <w:r>
        <w:rPr>
          <w:rFonts w:hint="eastAsia" w:ascii="宋体" w:hAnsi="宋体" w:eastAsia="宋体"/>
          <w:color w:val="auto"/>
          <w:sz w:val="21"/>
          <w:szCs w:val="21"/>
          <w:highlight w:val="none"/>
        </w:rPr>
        <w:t>本招标文件是</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国家有关法律、法规以及政府采购管理有关规定和参照国际惯例编制，解释权属本采购代理机构。</w:t>
      </w:r>
    </w:p>
    <w:p w14:paraId="4F0E04CC">
      <w:pPr>
        <w:pageBreakBefore w:val="0"/>
        <w:widowControl w:val="0"/>
        <w:numPr>
          <w:ilvl w:val="1"/>
          <w:numId w:val="0"/>
        </w:numPr>
        <w:tabs>
          <w:tab w:val="left" w:pos="907"/>
        </w:tabs>
        <w:kinsoku/>
        <w:topLinePunct w:val="0"/>
        <w:autoSpaceDE/>
        <w:autoSpaceDN/>
        <w:bidi w:val="0"/>
        <w:adjustRightInd/>
        <w:snapToGrid/>
        <w:spacing w:after="0" w:line="360" w:lineRule="auto"/>
        <w:ind w:left="567" w:leftChars="0" w:hanging="567" w:firstLineChars="0"/>
        <w:jc w:val="both"/>
        <w:rPr>
          <w:rFonts w:ascii="宋体" w:hAnsi="宋体" w:eastAsia="宋体"/>
          <w:color w:val="auto"/>
          <w:sz w:val="21"/>
          <w:szCs w:val="21"/>
          <w:highlight w:val="none"/>
        </w:rPr>
      </w:pPr>
      <w:r>
        <w:rPr>
          <w:rFonts w:hint="eastAsia" w:ascii="宋体" w:hAnsi="宋体" w:eastAsia="宋体" w:cstheme="minorBidi"/>
          <w:color w:val="auto"/>
          <w:sz w:val="21"/>
          <w:szCs w:val="21"/>
          <w:highlight w:val="none"/>
          <w:lang w:val="en-US" w:eastAsia="zh-CN" w:bidi="ar-SA"/>
        </w:rPr>
        <w:t>33.3.</w:t>
      </w:r>
      <w:r>
        <w:rPr>
          <w:rFonts w:hint="eastAsia" w:ascii="宋体" w:hAnsi="宋体" w:eastAsia="宋体"/>
          <w:color w:val="auto"/>
          <w:sz w:val="21"/>
          <w:szCs w:val="21"/>
          <w:highlight w:val="none"/>
        </w:rPr>
        <w:br w:type="page"/>
      </w:r>
    </w:p>
    <w:p w14:paraId="4F76E91C">
      <w:pPr>
        <w:pStyle w:val="3"/>
        <w:pageBreakBefore w:val="0"/>
        <w:numPr>
          <w:ilvl w:val="0"/>
          <w:numId w:val="6"/>
        </w:numPr>
        <w:kinsoku/>
        <w:topLinePunct w:val="0"/>
        <w:autoSpaceDE/>
        <w:autoSpaceDN/>
        <w:bidi w:val="0"/>
        <w:spacing w:before="0" w:after="0" w:line="360" w:lineRule="auto"/>
        <w:rPr>
          <w:rFonts w:hint="eastAsia"/>
          <w:color w:val="auto"/>
          <w:sz w:val="28"/>
          <w:szCs w:val="28"/>
          <w:highlight w:val="none"/>
        </w:rPr>
      </w:pPr>
      <w:bookmarkStart w:id="80" w:name="_Toc12226"/>
      <w:r>
        <w:rPr>
          <w:rFonts w:hint="eastAsia"/>
          <w:color w:val="auto"/>
          <w:sz w:val="28"/>
          <w:szCs w:val="28"/>
          <w:highlight w:val="none"/>
        </w:rPr>
        <w:t>合同格式</w:t>
      </w:r>
      <w:bookmarkEnd w:id="80"/>
      <w:bookmarkStart w:id="81" w:name="_Toc1534"/>
      <w:bookmarkStart w:id="82" w:name="_Toc21155"/>
      <w:bookmarkStart w:id="83" w:name="_Toc13430"/>
    </w:p>
    <w:p w14:paraId="09A9CDCD">
      <w:pPr>
        <w:pageBreakBefore w:val="0"/>
        <w:numPr>
          <w:ilvl w:val="0"/>
          <w:numId w:val="0"/>
        </w:numPr>
        <w:kinsoku/>
        <w:topLinePunct w:val="0"/>
        <w:autoSpaceDE/>
        <w:autoSpaceDN/>
        <w:bidi w:val="0"/>
        <w:spacing w:before="0" w:after="0" w:line="360" w:lineRule="auto"/>
        <w:jc w:val="center"/>
        <w:outlineLvl w:val="9"/>
        <w:rPr>
          <w:color w:val="auto"/>
          <w:highlight w:val="none"/>
        </w:rPr>
      </w:pPr>
      <w:r>
        <w:rPr>
          <w:rFonts w:hint="eastAsia" w:ascii="宋体" w:hAnsi="宋体" w:eastAsia="宋体" w:cs="宋体"/>
          <w:b/>
          <w:bCs/>
          <w:color w:val="auto"/>
          <w:sz w:val="28"/>
          <w:szCs w:val="28"/>
          <w:highlight w:val="none"/>
        </w:rPr>
        <w:t>（本格式编排在招标文件中，供投标人参考，投标时不需填写）</w:t>
      </w:r>
    </w:p>
    <w:p w14:paraId="5D9D02DC">
      <w:pPr>
        <w:pStyle w:val="4"/>
        <w:pageBreakBefore w:val="0"/>
        <w:kinsoku/>
        <w:topLinePunct w:val="0"/>
        <w:autoSpaceDE/>
        <w:autoSpaceDN/>
        <w:bidi w:val="0"/>
        <w:spacing w:before="0" w:after="0" w:line="360" w:lineRule="auto"/>
        <w:jc w:val="center"/>
        <w:rPr>
          <w:rFonts w:hint="eastAsia" w:ascii="宋体" w:hAnsi="宋体" w:eastAsia="宋体" w:cs="宋体"/>
          <w:color w:val="auto"/>
          <w:highlight w:val="none"/>
        </w:rPr>
      </w:pPr>
      <w:bookmarkStart w:id="84" w:name="_Toc19043"/>
      <w:r>
        <w:rPr>
          <w:rFonts w:hint="eastAsia" w:ascii="宋体" w:hAnsi="宋体" w:eastAsia="宋体" w:cs="宋体"/>
          <w:color w:val="auto"/>
          <w:highlight w:val="none"/>
        </w:rPr>
        <w:t>合同格式</w:t>
      </w:r>
      <w:bookmarkEnd w:id="81"/>
      <w:bookmarkEnd w:id="82"/>
      <w:bookmarkEnd w:id="83"/>
      <w:bookmarkEnd w:id="84"/>
    </w:p>
    <w:p w14:paraId="57A1A5CB">
      <w:pPr>
        <w:rPr>
          <w:color w:val="auto"/>
          <w:highlight w:val="none"/>
        </w:rPr>
      </w:pPr>
    </w:p>
    <w:p w14:paraId="4856E03A">
      <w:pPr>
        <w:keepNext w:val="0"/>
        <w:keepLines w:val="0"/>
        <w:pageBreakBefore w:val="0"/>
        <w:kinsoku/>
        <w:wordWrap/>
        <w:overflowPunct/>
        <w:topLinePunct w:val="0"/>
        <w:autoSpaceDE/>
        <w:autoSpaceDN/>
        <w:bidi w:val="0"/>
        <w:spacing w:line="400" w:lineRule="exact"/>
        <w:ind w:right="56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14:paraId="33CBC4DC">
      <w:pPr>
        <w:keepNext w:val="0"/>
        <w:keepLines w:val="0"/>
        <w:pageBreakBefore w:val="0"/>
        <w:kinsoku/>
        <w:wordWrap/>
        <w:overflowPunct/>
        <w:topLinePunct w:val="0"/>
        <w:autoSpaceDE/>
        <w:autoSpaceDN/>
        <w:bidi w:val="0"/>
        <w:spacing w:line="400" w:lineRule="exac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甲方</w:t>
      </w:r>
      <w:r>
        <w:rPr>
          <w:rFonts w:hint="eastAsia" w:ascii="宋体" w:hAnsi="宋体" w:eastAsia="宋体"/>
          <w:color w:val="auto"/>
          <w:sz w:val="21"/>
          <w:szCs w:val="21"/>
          <w:highlight w:val="none"/>
          <w:lang w:eastAsia="zh-CN"/>
        </w:rPr>
        <w:t>（采购人）</w:t>
      </w:r>
      <w:r>
        <w:rPr>
          <w:rFonts w:hint="eastAsia" w:ascii="宋体" w:hAnsi="宋体" w:eastAsia="宋体"/>
          <w:color w:val="auto"/>
          <w:sz w:val="21"/>
          <w:szCs w:val="21"/>
          <w:highlight w:val="none"/>
        </w:rPr>
        <w:t>：东莞市民政局</w:t>
      </w:r>
    </w:p>
    <w:p w14:paraId="565ADD2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w:t>
      </w:r>
      <w:r>
        <w:rPr>
          <w:rFonts w:hint="eastAsia" w:ascii="宋体" w:hAnsi="宋体" w:eastAsia="宋体"/>
          <w:color w:val="auto"/>
          <w:sz w:val="21"/>
          <w:szCs w:val="21"/>
          <w:highlight w:val="none"/>
          <w:lang w:eastAsia="zh-CN"/>
        </w:rPr>
        <w:t>（中标单位）</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none"/>
        </w:rPr>
        <w:t xml:space="preserve">                   </w:t>
      </w:r>
      <w:r>
        <w:rPr>
          <w:rFonts w:hint="eastAsia" w:ascii="宋体" w:hAnsi="宋体" w:eastAsia="宋体"/>
          <w:color w:val="auto"/>
          <w:sz w:val="21"/>
          <w:szCs w:val="21"/>
          <w:highlight w:val="none"/>
          <w:u w:val="single"/>
        </w:rPr>
        <w:t xml:space="preserve">       </w:t>
      </w:r>
    </w:p>
    <w:p w14:paraId="49A72AE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lang w:eastAsia="zh-CN"/>
        </w:rPr>
        <w:t>三方诚信招标有限公司东莞分公司</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2025－2026年“幸福加油站一婚姻护航”婚姻家庭辅导项目</w:t>
      </w:r>
      <w:r>
        <w:rPr>
          <w:rFonts w:hint="eastAsia" w:ascii="宋体" w:hAnsi="宋体" w:eastAsia="宋体"/>
          <w:color w:val="auto"/>
          <w:sz w:val="21"/>
          <w:szCs w:val="21"/>
          <w:highlight w:val="none"/>
        </w:rPr>
        <w:t>（采购项目编号为</w:t>
      </w:r>
      <w:r>
        <w:rPr>
          <w:rFonts w:hint="eastAsia" w:ascii="宋体" w:hAnsi="宋体" w:eastAsia="宋体"/>
          <w:color w:val="auto"/>
          <w:sz w:val="21"/>
          <w:szCs w:val="21"/>
          <w:highlight w:val="none"/>
          <w:u w:val="single"/>
        </w:rPr>
        <w:t>0832-SFCX25DG064C</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w:t>
      </w:r>
      <w:r>
        <w:rPr>
          <w:rFonts w:hint="eastAsia" w:ascii="宋体" w:hAnsi="宋体" w:eastAsia="宋体"/>
          <w:color w:val="auto"/>
          <w:sz w:val="21"/>
          <w:szCs w:val="21"/>
          <w:highlight w:val="none"/>
          <w:lang w:eastAsia="zh-CN"/>
        </w:rPr>
        <w:t>双方</w:t>
      </w:r>
      <w:r>
        <w:rPr>
          <w:rFonts w:hint="eastAsia" w:ascii="宋体" w:hAnsi="宋体" w:eastAsia="宋体"/>
          <w:color w:val="auto"/>
          <w:sz w:val="21"/>
          <w:szCs w:val="21"/>
          <w:highlight w:val="none"/>
        </w:rPr>
        <w:t>合法权益，根据《中华人民共和国政府采购法》及其实施条例、《中华人民共和国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》，在平等自愿的基础上，按照下面的条款和条件，签署本合同。</w:t>
      </w:r>
    </w:p>
    <w:p w14:paraId="6FC4A41F">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14:paraId="3D46752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1、项目名称：2025－2026年“幸福加油站一婚姻护航”婚姻家庭辅导项目；</w:t>
      </w:r>
    </w:p>
    <w:p w14:paraId="7473017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2、采购项目编号：0832-SFCX25DG064C。</w:t>
      </w:r>
    </w:p>
    <w:p w14:paraId="11B65A06">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14:paraId="7CEA1EF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14:paraId="26385F4C">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85" w:name="_Toc86481558"/>
      <w:r>
        <w:rPr>
          <w:rFonts w:hint="eastAsia" w:ascii="宋体" w:hAnsi="宋体" w:eastAsia="宋体"/>
          <w:b/>
          <w:color w:val="auto"/>
          <w:sz w:val="21"/>
          <w:szCs w:val="21"/>
          <w:highlight w:val="none"/>
        </w:rPr>
        <w:t>第三条 服务内容、标准及要求</w:t>
      </w:r>
    </w:p>
    <w:p w14:paraId="0DC0B43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服务</w:t>
      </w:r>
      <w:r>
        <w:rPr>
          <w:rFonts w:hint="eastAsia" w:ascii="宋体" w:hAnsi="宋体" w:eastAsia="宋体"/>
          <w:color w:val="auto"/>
          <w:sz w:val="21"/>
          <w:szCs w:val="21"/>
          <w:highlight w:val="none"/>
        </w:rPr>
        <w:t>内容</w:t>
      </w:r>
    </w:p>
    <w:p w14:paraId="382C9DB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幸福加油站一婚姻护航”婚姻家庭辅导项目主要为全市婚姻当事人</w:t>
      </w:r>
      <w:r>
        <w:rPr>
          <w:rFonts w:hint="eastAsia" w:ascii="宋体" w:hAnsi="宋体" w:eastAsia="宋体"/>
          <w:color w:val="auto"/>
          <w:sz w:val="21"/>
          <w:szCs w:val="21"/>
          <w:highlight w:val="none"/>
          <w:lang w:eastAsia="zh-CN"/>
        </w:rPr>
        <w:t>及符合婚姻登记的外来务工人员</w:t>
      </w:r>
      <w:r>
        <w:rPr>
          <w:rFonts w:hint="eastAsia" w:ascii="宋体" w:hAnsi="宋体" w:eastAsia="宋体"/>
          <w:color w:val="auto"/>
          <w:sz w:val="21"/>
          <w:szCs w:val="21"/>
          <w:highlight w:val="none"/>
        </w:rPr>
        <w:t>提供婚姻家庭辅导</w:t>
      </w:r>
      <w:r>
        <w:rPr>
          <w:rFonts w:hint="eastAsia" w:ascii="宋体" w:hAnsi="宋体" w:eastAsia="宋体"/>
          <w:color w:val="auto"/>
          <w:sz w:val="21"/>
          <w:szCs w:val="21"/>
          <w:highlight w:val="none"/>
          <w:lang w:eastAsia="zh-CN"/>
        </w:rPr>
        <w:t>服务，</w:t>
      </w:r>
      <w:r>
        <w:rPr>
          <w:rFonts w:hint="eastAsia" w:ascii="宋体" w:hAnsi="宋体" w:eastAsia="宋体"/>
          <w:color w:val="auto"/>
          <w:sz w:val="21"/>
          <w:szCs w:val="21"/>
          <w:highlight w:val="none"/>
        </w:rPr>
        <w:t>包括离婚调解及婚姻危机干预、新婚辅导、优生优育、法律法规宣传以及好家风好家教好家训宣传、婚俗改革宣传等服务，帮助婚姻当事人排解各种婚姻、家庭危机，最大限度地保护婚姻、维护家庭稳定。</w:t>
      </w:r>
    </w:p>
    <w:p w14:paraId="7961A8B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服务</w:t>
      </w:r>
      <w:r>
        <w:rPr>
          <w:rFonts w:hint="eastAsia" w:ascii="宋体" w:hAnsi="宋体" w:eastAsia="宋体"/>
          <w:color w:val="auto"/>
          <w:sz w:val="21"/>
          <w:szCs w:val="21"/>
          <w:highlight w:val="none"/>
          <w:lang w:eastAsia="zh-CN"/>
        </w:rPr>
        <w:t>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33"/>
        <w:gridCol w:w="3128"/>
      </w:tblGrid>
      <w:tr w14:paraId="7D7A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19D0BA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序号</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0BFC649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服务名称</w:t>
            </w:r>
          </w:p>
        </w:tc>
        <w:tc>
          <w:tcPr>
            <w:tcW w:w="3128" w:type="dxa"/>
            <w:tcBorders>
              <w:top w:val="single" w:color="auto" w:sz="4" w:space="0"/>
              <w:left w:val="single" w:color="auto" w:sz="4" w:space="0"/>
              <w:bottom w:val="single" w:color="auto" w:sz="4" w:space="0"/>
              <w:right w:val="single" w:color="auto" w:sz="4" w:space="0"/>
            </w:tcBorders>
            <w:noWrap w:val="0"/>
            <w:vAlign w:val="top"/>
          </w:tcPr>
          <w:p w14:paraId="24AA215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年均产出量</w:t>
            </w:r>
          </w:p>
        </w:tc>
      </w:tr>
      <w:tr w14:paraId="256C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D2EF9B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1</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7E17125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个案服务</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65CD1B3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50</w:t>
            </w:r>
            <w:r>
              <w:rPr>
                <w:rFonts w:hint="default" w:ascii="宋体" w:hAnsi="宋体" w:eastAsia="宋体" w:cs="宋体"/>
                <w:color w:val="auto"/>
                <w:sz w:val="21"/>
                <w:szCs w:val="21"/>
                <w:highlight w:val="none"/>
                <w:shd w:val="clear" w:color="auto" w:fill="FFFFFF"/>
                <w:lang w:val="en-US" w:eastAsia="zh-CN" w:bidi="ar-SA"/>
              </w:rPr>
              <w:t>个</w:t>
            </w:r>
          </w:p>
        </w:tc>
      </w:tr>
      <w:tr w14:paraId="26D9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72E1720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2</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2BB3225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婚姻辅导</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05D2422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2500</w:t>
            </w:r>
            <w:r>
              <w:rPr>
                <w:rFonts w:hint="default" w:ascii="宋体" w:hAnsi="宋体" w:eastAsia="宋体" w:cs="宋体"/>
                <w:color w:val="auto"/>
                <w:sz w:val="21"/>
                <w:szCs w:val="21"/>
                <w:highlight w:val="none"/>
                <w:shd w:val="clear" w:color="auto" w:fill="FFFFFF"/>
                <w:lang w:val="en-US" w:eastAsia="zh-CN" w:bidi="ar-SA"/>
              </w:rPr>
              <w:t>人次</w:t>
            </w:r>
          </w:p>
        </w:tc>
      </w:tr>
      <w:tr w14:paraId="708D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12C151F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3</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CE268F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咨询</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4D5D329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2500</w:t>
            </w:r>
            <w:r>
              <w:rPr>
                <w:rFonts w:hint="default" w:ascii="宋体" w:hAnsi="宋体" w:eastAsia="宋体" w:cs="宋体"/>
                <w:color w:val="auto"/>
                <w:sz w:val="21"/>
                <w:szCs w:val="21"/>
                <w:highlight w:val="none"/>
                <w:shd w:val="clear" w:color="auto" w:fill="FFFFFF"/>
                <w:lang w:val="en-US" w:eastAsia="zh-CN" w:bidi="ar-SA"/>
              </w:rPr>
              <w:t>人次</w:t>
            </w:r>
          </w:p>
        </w:tc>
      </w:tr>
      <w:tr w14:paraId="4B64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08D227E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4</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43B0A46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活动</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56BB108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25</w:t>
            </w:r>
            <w:r>
              <w:rPr>
                <w:rFonts w:hint="default" w:ascii="宋体" w:hAnsi="宋体" w:eastAsia="宋体" w:cs="宋体"/>
                <w:color w:val="auto"/>
                <w:sz w:val="21"/>
                <w:szCs w:val="21"/>
                <w:highlight w:val="none"/>
                <w:shd w:val="clear" w:color="auto" w:fill="FFFFFF"/>
                <w:lang w:val="en-US" w:eastAsia="zh-CN" w:bidi="ar-SA"/>
              </w:rPr>
              <w:t>个</w:t>
            </w:r>
          </w:p>
        </w:tc>
      </w:tr>
      <w:tr w14:paraId="45B3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5C7741D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5</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793125B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服务总结</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501FF0D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2份</w:t>
            </w:r>
          </w:p>
        </w:tc>
      </w:tr>
      <w:tr w14:paraId="3407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A0468E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6</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7C11E3B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社工服务反思和服务探讨</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3966600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1宗</w:t>
            </w:r>
          </w:p>
        </w:tc>
      </w:tr>
      <w:tr w14:paraId="3A24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69B96D1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7</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71D49A2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媒体报道</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28B6672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10</w:t>
            </w:r>
            <w:r>
              <w:rPr>
                <w:rFonts w:hint="default" w:ascii="宋体" w:hAnsi="宋体" w:eastAsia="宋体" w:cs="宋体"/>
                <w:color w:val="auto"/>
                <w:sz w:val="21"/>
                <w:szCs w:val="21"/>
                <w:highlight w:val="none"/>
                <w:shd w:val="clear" w:color="auto" w:fill="FFFFFF"/>
                <w:lang w:val="en-US" w:eastAsia="zh-CN" w:bidi="ar-SA"/>
              </w:rPr>
              <w:t>次以上</w:t>
            </w:r>
          </w:p>
        </w:tc>
      </w:tr>
      <w:tr w14:paraId="0527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21C365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8</w:t>
            </w:r>
          </w:p>
        </w:tc>
        <w:tc>
          <w:tcPr>
            <w:tcW w:w="4133" w:type="dxa"/>
            <w:tcBorders>
              <w:top w:val="single" w:color="auto" w:sz="4" w:space="0"/>
              <w:left w:val="single" w:color="auto" w:sz="4" w:space="0"/>
              <w:bottom w:val="single" w:color="auto" w:sz="4" w:space="0"/>
              <w:right w:val="single" w:color="auto" w:sz="4" w:space="0"/>
            </w:tcBorders>
            <w:noWrap w:val="0"/>
            <w:vAlign w:val="top"/>
          </w:tcPr>
          <w:p w14:paraId="472A18A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服务单位交办的其他工作（视需要而定）</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3F4CA2B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w:t>
            </w:r>
          </w:p>
        </w:tc>
      </w:tr>
    </w:tbl>
    <w:p w14:paraId="05F68E0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3、服务要求</w:t>
      </w:r>
    </w:p>
    <w:p w14:paraId="658FF42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（1）项目人员配备要求</w:t>
      </w:r>
    </w:p>
    <w:p w14:paraId="09179A54">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1）人员配备数量要求</w:t>
      </w:r>
    </w:p>
    <w:p w14:paraId="20513218">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乙方应本着服务至上、诚信为本的宗旨，为甲方委派5名身体健康并符合要求的项目人员。项目计划设置项目主管1人（负责统筹、协调、执行项目服务），项目社工4人（负责执行项目服务）。</w:t>
      </w:r>
    </w:p>
    <w:p w14:paraId="0BB77ED9">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2）人员资质要求</w:t>
      </w:r>
    </w:p>
    <w:p w14:paraId="28B6F130">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theme="minorBidi"/>
          <w:b w:val="0"/>
          <w:color w:val="auto"/>
          <w:kern w:val="0"/>
          <w:sz w:val="21"/>
          <w:szCs w:val="21"/>
          <w:highlight w:val="none"/>
          <w:lang w:val="en-US" w:eastAsia="zh-CN" w:bidi="ar-SA"/>
        </w:rPr>
      </w:pPr>
      <w:r>
        <w:rPr>
          <w:rFonts w:hint="eastAsia" w:ascii="微软雅黑" w:hAnsi="微软雅黑" w:eastAsia="微软雅黑" w:cs="微软雅黑"/>
          <w:b w:val="0"/>
          <w:color w:val="auto"/>
          <w:kern w:val="0"/>
          <w:sz w:val="21"/>
          <w:szCs w:val="21"/>
          <w:highlight w:val="none"/>
          <w:lang w:val="en-US" w:eastAsia="zh-CN" w:bidi="ar-SA"/>
        </w:rPr>
        <w:t>①</w:t>
      </w:r>
      <w:r>
        <w:rPr>
          <w:rFonts w:hint="eastAsia" w:ascii="宋体" w:hAnsi="宋体" w:eastAsia="宋体" w:cstheme="minorBidi"/>
          <w:b w:val="0"/>
          <w:color w:val="auto"/>
          <w:kern w:val="0"/>
          <w:sz w:val="21"/>
          <w:szCs w:val="21"/>
          <w:highlight w:val="none"/>
          <w:lang w:val="en-US" w:eastAsia="zh-CN" w:bidi="ar-SA"/>
        </w:rPr>
        <w:t>乙方配备的项目社工应通过全国社会工作者职业水平考试，获得助理级社工师或中级社工师资格证书；至少1人获得心理咨询师或婚姻家庭咨询师资格证书。</w:t>
      </w:r>
    </w:p>
    <w:p w14:paraId="07F6C060">
      <w:pPr>
        <w:pStyle w:val="2"/>
        <w:keepNext w:val="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theme="minorBidi"/>
          <w:b w:val="0"/>
          <w:color w:val="auto"/>
          <w:kern w:val="0"/>
          <w:sz w:val="21"/>
          <w:szCs w:val="21"/>
          <w:highlight w:val="none"/>
          <w:lang w:val="en-US" w:eastAsia="zh-CN" w:bidi="ar-SA"/>
        </w:rPr>
      </w:pPr>
      <w:r>
        <w:rPr>
          <w:rFonts w:hint="eastAsia" w:ascii="微软雅黑" w:hAnsi="微软雅黑" w:eastAsia="微软雅黑" w:cs="微软雅黑"/>
          <w:b w:val="0"/>
          <w:color w:val="auto"/>
          <w:kern w:val="0"/>
          <w:sz w:val="21"/>
          <w:szCs w:val="21"/>
          <w:highlight w:val="none"/>
          <w:lang w:val="en-US" w:eastAsia="zh-CN" w:bidi="ar-SA"/>
        </w:rPr>
        <w:t>②</w:t>
      </w:r>
      <w:r>
        <w:rPr>
          <w:rFonts w:hint="eastAsia" w:ascii="宋体" w:hAnsi="宋体" w:eastAsia="宋体" w:cstheme="minorBidi"/>
          <w:b w:val="0"/>
          <w:color w:val="auto"/>
          <w:kern w:val="0"/>
          <w:sz w:val="21"/>
          <w:szCs w:val="21"/>
          <w:highlight w:val="none"/>
          <w:lang w:val="en-US" w:eastAsia="zh-CN" w:bidi="ar-SA"/>
        </w:rPr>
        <w:t>拟投入项目人数达5人以上的，按照</w:t>
      </w:r>
      <w:r>
        <w:rPr>
          <w:rFonts w:hint="eastAsia" w:hAnsi="宋体" w:cs="宋体"/>
          <w:b w:val="0"/>
          <w:bCs w:val="0"/>
          <w:color w:val="FF0000"/>
          <w:sz w:val="21"/>
          <w:szCs w:val="21"/>
          <w:highlight w:val="none"/>
          <w:lang w:val="en-US" w:eastAsia="zh-CN"/>
        </w:rPr>
        <w:t>2:3</w:t>
      </w:r>
      <w:r>
        <w:rPr>
          <w:rFonts w:hint="eastAsia" w:hAnsi="宋体" w:cs="宋体"/>
          <w:b w:val="0"/>
          <w:bCs w:val="0"/>
          <w:color w:val="FF0000"/>
          <w:sz w:val="21"/>
          <w:szCs w:val="21"/>
          <w:highlight w:val="none"/>
          <w:lang w:eastAsia="zh-CN"/>
        </w:rPr>
        <w:t>比例</w:t>
      </w:r>
      <w:r>
        <w:rPr>
          <w:rFonts w:hint="eastAsia" w:ascii="宋体" w:hAnsi="宋体" w:eastAsia="宋体" w:cstheme="minorBidi"/>
          <w:b w:val="0"/>
          <w:color w:val="auto"/>
          <w:kern w:val="0"/>
          <w:sz w:val="21"/>
          <w:szCs w:val="21"/>
          <w:highlight w:val="none"/>
          <w:lang w:val="en-US" w:eastAsia="zh-CN" w:bidi="ar-SA"/>
        </w:rPr>
        <w:t>配备（中、高级）社会工作师和助理社会工作师。</w:t>
      </w:r>
    </w:p>
    <w:p w14:paraId="501970C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（2）其他服务要求</w:t>
      </w:r>
    </w:p>
    <w:p w14:paraId="526A8B9A">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乙方应与项目人员建立劳动关系，订立和履行劳动合同，支付工资并交纳相关的社会保险金等费用。其中社工人力成本发放应符合《东莞市人民政府办公室关于印发〈东莞市政府购买社会工作服务实施办法〉的通知》（东府办〔2021〕8号）以及《东莞市民政局 东莞市财政局关于印发〈政府购买社会工作服务资金使用管理办法〉的通知》（东民规〔2021〕2号）有关规定。</w:t>
      </w:r>
    </w:p>
    <w:p w14:paraId="4930955F">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乙方应安排符合要求的项目人员，并提前向甲方及东莞市婚姻登记管理中心书面报备项目人员名单，经同意后方可安排上岗。如有人员变更的，需提前报备，征得甲方及东莞市婚姻登记管理中心同意后方可变更。东莞市婚姻登记管理中心应每月核准乙方项目人员在岗情况，并向甲方报送乙方项目人员在岗情况。</w:t>
      </w:r>
    </w:p>
    <w:p w14:paraId="24646198">
      <w:pPr>
        <w:keepNext w:val="0"/>
        <w:keepLines w:val="0"/>
        <w:pageBreakBefore w:val="0"/>
        <w:kinsoku/>
        <w:wordWrap/>
        <w:overflowPunct/>
        <w:topLinePunct w:val="0"/>
        <w:autoSpaceDE/>
        <w:autoSpaceDN/>
        <w:bidi w:val="0"/>
        <w:adjustRightInd/>
        <w:snapToGrid/>
        <w:spacing w:after="0" w:line="400" w:lineRule="exact"/>
        <w:ind w:firstLine="630" w:firstLineChars="3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3）合同期内，乙方应每季度提交社工项目工作报告；运营满6个月、合同结束后10个工作日内提交社工项目总结报告。上述报告须经东莞市婚姻登记管理中心审核确认后再报送甲方。</w:t>
      </w:r>
    </w:p>
    <w:p w14:paraId="2E067CF3">
      <w:pPr>
        <w:pStyle w:val="7"/>
        <w:keepNext w:val="0"/>
        <w:keepLines w:val="0"/>
        <w:pageBreakBefore w:val="0"/>
        <w:kinsoku/>
        <w:wordWrap/>
        <w:overflowPunct/>
        <w:topLinePunct w:val="0"/>
        <w:autoSpaceDE/>
        <w:autoSpaceDN/>
        <w:bidi w:val="0"/>
        <w:spacing w:before="0" w:after="0" w:line="360" w:lineRule="exact"/>
        <w:ind w:firstLine="420" w:firstLineChars="200"/>
        <w:textAlignment w:val="auto"/>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rPr>
        <w:t>4</w:t>
      </w:r>
      <w:r>
        <w:rPr>
          <w:rFonts w:hint="eastAsia" w:ascii="宋体" w:hAnsi="宋体" w:eastAsia="宋体"/>
          <w:color w:val="auto"/>
          <w:sz w:val="21"/>
          <w:szCs w:val="21"/>
          <w:highlight w:val="none"/>
          <w:lang w:val="en-US" w:eastAsia="zh-CN"/>
        </w:rPr>
        <w:t>）</w:t>
      </w:r>
      <w:r>
        <w:rPr>
          <w:rFonts w:hint="eastAsia" w:cs="宋体"/>
          <w:color w:val="auto"/>
          <w:sz w:val="21"/>
          <w:szCs w:val="21"/>
          <w:highlight w:val="none"/>
          <w:lang w:val="en-US" w:eastAsia="zh-CN"/>
        </w:rPr>
        <w:t>合同期内，中标人应制定督导制度和年度督导计划，</w:t>
      </w:r>
      <w:r>
        <w:rPr>
          <w:rFonts w:hint="eastAsia" w:ascii="宋体" w:hAnsi="宋体" w:eastAsia="宋体" w:cs="宋体"/>
          <w:color w:val="auto"/>
          <w:sz w:val="21"/>
          <w:szCs w:val="21"/>
          <w:highlight w:val="none"/>
          <w:lang w:val="en-US" w:eastAsia="zh-CN" w:bidi="zh-CN"/>
        </w:rPr>
        <w:t>安排督导人员每月至少开展1次现场督导，加强项目人员的专业能力建设，督导服务结束后，需向采购人提交督导</w:t>
      </w:r>
      <w:r>
        <w:rPr>
          <w:rFonts w:hint="eastAsia" w:cs="宋体"/>
          <w:color w:val="auto"/>
          <w:sz w:val="21"/>
          <w:szCs w:val="21"/>
          <w:highlight w:val="none"/>
          <w:lang w:val="en-US" w:eastAsia="zh-CN" w:bidi="zh-CN"/>
        </w:rPr>
        <w:t>服务记录</w:t>
      </w:r>
      <w:r>
        <w:rPr>
          <w:rFonts w:hint="eastAsia" w:ascii="宋体" w:hAnsi="宋体" w:eastAsia="宋体" w:cs="宋体"/>
          <w:color w:val="auto"/>
          <w:sz w:val="21"/>
          <w:szCs w:val="21"/>
          <w:highlight w:val="none"/>
          <w:lang w:val="en-US" w:eastAsia="zh-CN" w:bidi="zh-CN"/>
        </w:rPr>
        <w:t>。</w:t>
      </w:r>
    </w:p>
    <w:p w14:paraId="67364CB3">
      <w:pPr>
        <w:pStyle w:val="7"/>
        <w:keepNext w:val="0"/>
        <w:keepLines w:val="0"/>
        <w:pageBreakBefore w:val="0"/>
        <w:kinsoku/>
        <w:wordWrap/>
        <w:overflowPunct/>
        <w:topLinePunct w:val="0"/>
        <w:autoSpaceDE/>
        <w:autoSpaceDN/>
        <w:bidi w:val="0"/>
        <w:spacing w:before="0" w:after="0" w:line="360" w:lineRule="exact"/>
        <w:ind w:firstLine="420" w:firstLineChars="200"/>
        <w:textAlignment w:val="auto"/>
        <w:rPr>
          <w:rFonts w:hint="default"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rPr>
        <w:t>5</w:t>
      </w:r>
      <w:r>
        <w:rPr>
          <w:rFonts w:hint="eastAsia" w:ascii="宋体" w:hAnsi="宋体" w:eastAsia="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zh-CN"/>
        </w:rPr>
        <w:t>在合同初期，中标</w:t>
      </w:r>
      <w:r>
        <w:rPr>
          <w:rFonts w:hint="eastAsia" w:cs="宋体"/>
          <w:color w:val="auto"/>
          <w:sz w:val="21"/>
          <w:szCs w:val="21"/>
          <w:highlight w:val="none"/>
          <w:lang w:val="en-US" w:eastAsia="zh-CN" w:bidi="zh-CN"/>
        </w:rPr>
        <w:t>人</w:t>
      </w:r>
      <w:r>
        <w:rPr>
          <w:rFonts w:hint="eastAsia" w:ascii="宋体" w:hAnsi="宋体" w:eastAsia="宋体" w:cs="宋体"/>
          <w:color w:val="auto"/>
          <w:sz w:val="21"/>
          <w:szCs w:val="21"/>
          <w:highlight w:val="none"/>
          <w:lang w:val="en-US" w:eastAsia="zh-CN" w:bidi="zh-CN"/>
        </w:rPr>
        <w:t>需制定与项目要求相符的服务计划，明确服务目标</w:t>
      </w:r>
      <w:r>
        <w:rPr>
          <w:rFonts w:hint="eastAsia" w:cs="宋体"/>
          <w:color w:val="auto"/>
          <w:sz w:val="21"/>
          <w:szCs w:val="21"/>
          <w:highlight w:val="none"/>
          <w:lang w:val="en-US" w:eastAsia="zh-CN" w:bidi="zh-CN"/>
        </w:rPr>
        <w:t>及成效评估方案</w:t>
      </w:r>
      <w:r>
        <w:rPr>
          <w:rFonts w:hint="eastAsia" w:ascii="宋体" w:hAnsi="宋体" w:eastAsia="宋体" w:cs="宋体"/>
          <w:color w:val="auto"/>
          <w:sz w:val="21"/>
          <w:szCs w:val="21"/>
          <w:highlight w:val="none"/>
          <w:lang w:val="en-US" w:eastAsia="zh-CN" w:bidi="zh-CN"/>
        </w:rPr>
        <w:t>；合同期结束后，</w:t>
      </w:r>
      <w:r>
        <w:rPr>
          <w:rFonts w:hint="eastAsia" w:cs="宋体"/>
          <w:color w:val="auto"/>
          <w:sz w:val="21"/>
          <w:szCs w:val="21"/>
          <w:highlight w:val="none"/>
          <w:lang w:val="en-US" w:eastAsia="zh-CN" w:bidi="zh-CN"/>
        </w:rPr>
        <w:t>需</w:t>
      </w:r>
      <w:r>
        <w:rPr>
          <w:rFonts w:hint="eastAsia" w:ascii="宋体" w:hAnsi="宋体" w:eastAsia="宋体" w:cs="宋体"/>
          <w:color w:val="auto"/>
          <w:sz w:val="21"/>
          <w:szCs w:val="21"/>
          <w:highlight w:val="none"/>
          <w:lang w:val="en-US" w:eastAsia="zh-CN" w:bidi="zh-CN"/>
        </w:rPr>
        <w:t>对服务内容、过程、目标达成情况等内容进行成效评估并</w:t>
      </w:r>
      <w:r>
        <w:rPr>
          <w:rFonts w:hint="eastAsia" w:cs="宋体"/>
          <w:color w:val="auto"/>
          <w:sz w:val="21"/>
          <w:szCs w:val="21"/>
          <w:highlight w:val="none"/>
          <w:lang w:val="en-US" w:eastAsia="zh-CN" w:bidi="zh-CN"/>
        </w:rPr>
        <w:t>形成服务总结报告。</w:t>
      </w:r>
    </w:p>
    <w:p w14:paraId="350CEE9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4</w:t>
      </w:r>
      <w:r>
        <w:rPr>
          <w:rFonts w:hint="eastAsia" w:ascii="宋体" w:hAnsi="宋体" w:eastAsia="宋体" w:cs="仿宋"/>
          <w:color w:val="auto"/>
          <w:sz w:val="21"/>
          <w:szCs w:val="21"/>
          <w:highlight w:val="none"/>
          <w:shd w:val="clear" w:color="auto" w:fill="FFFFFF"/>
        </w:rPr>
        <w:t>、具体采购内容采购标准及要求以招标文件用户需求书及乙方投标文件承诺条款及方案为准。</w:t>
      </w:r>
    </w:p>
    <w:p w14:paraId="65D88C5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5、</w:t>
      </w:r>
      <w:r>
        <w:rPr>
          <w:rFonts w:hint="default" w:ascii="宋体" w:hAnsi="宋体" w:eastAsia="宋体" w:cs="仿宋"/>
          <w:color w:val="auto"/>
          <w:sz w:val="21"/>
          <w:szCs w:val="21"/>
          <w:highlight w:val="none"/>
          <w:shd w:val="clear" w:color="auto" w:fill="FFFFFF"/>
        </w:rPr>
        <w:t>培训要求</w:t>
      </w:r>
    </w:p>
    <w:p w14:paraId="7CB55A8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olor w:val="auto"/>
          <w:sz w:val="21"/>
          <w:szCs w:val="21"/>
          <w:highlight w:val="none"/>
          <w:lang w:val="en-US" w:eastAsia="zh-CN"/>
        </w:rPr>
        <w:t>（1）</w:t>
      </w:r>
      <w:r>
        <w:rPr>
          <w:rFonts w:hint="default" w:ascii="宋体" w:hAnsi="宋体" w:eastAsia="宋体" w:cs="仿宋"/>
          <w:color w:val="auto"/>
          <w:sz w:val="21"/>
          <w:szCs w:val="21"/>
          <w:highlight w:val="none"/>
          <w:shd w:val="clear" w:color="auto" w:fill="FFFFFF"/>
        </w:rPr>
        <w:t>培训对象。服务期内，乙方须针对拟投入项目人员开展培训。</w:t>
      </w:r>
    </w:p>
    <w:p w14:paraId="1EFF2EB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olor w:val="auto"/>
          <w:sz w:val="21"/>
          <w:szCs w:val="21"/>
          <w:highlight w:val="none"/>
          <w:lang w:val="en-US" w:eastAsia="zh-CN"/>
        </w:rPr>
        <w:t>（2）</w:t>
      </w:r>
      <w:r>
        <w:rPr>
          <w:rFonts w:hint="default" w:ascii="宋体" w:hAnsi="宋体" w:eastAsia="宋体" w:cs="仿宋"/>
          <w:color w:val="auto"/>
          <w:sz w:val="21"/>
          <w:szCs w:val="21"/>
          <w:highlight w:val="none"/>
          <w:shd w:val="clear" w:color="auto" w:fill="FFFFFF"/>
        </w:rPr>
        <w:t>培训内容与形式。培训内容可包括社会工作理论、实务技巧、团队管理、项目管理等内容。培训形式可采用集中培训、线上授课、专题讲座、工作坊、参访交流等多种形式。</w:t>
      </w:r>
    </w:p>
    <w:p w14:paraId="700F0C4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olor w:val="auto"/>
          <w:sz w:val="21"/>
          <w:szCs w:val="21"/>
          <w:highlight w:val="none"/>
          <w:lang w:val="en-US" w:eastAsia="zh-CN"/>
        </w:rPr>
        <w:t>（3）</w:t>
      </w:r>
      <w:r>
        <w:rPr>
          <w:rFonts w:hint="default" w:ascii="宋体" w:hAnsi="宋体" w:eastAsia="宋体" w:cs="仿宋"/>
          <w:color w:val="auto"/>
          <w:sz w:val="21"/>
          <w:szCs w:val="21"/>
          <w:highlight w:val="none"/>
          <w:shd w:val="clear" w:color="auto" w:fill="FFFFFF"/>
        </w:rPr>
        <w:t>培训时长要求。服务期内乙方须针对拟投入项目人员定期开展培训，保证培训时长每年不少于24小时。项目实施期间，乙方因不可控因素导致无法开展线下培训的，经甲方</w:t>
      </w:r>
      <w:r>
        <w:rPr>
          <w:rFonts w:hint="eastAsia" w:ascii="宋体" w:hAnsi="宋体" w:eastAsia="宋体" w:cs="仿宋"/>
          <w:color w:val="auto"/>
          <w:sz w:val="21"/>
          <w:szCs w:val="21"/>
          <w:highlight w:val="none"/>
          <w:shd w:val="clear" w:color="auto" w:fill="FFFFFF"/>
          <w:lang w:val="en-US" w:eastAsia="zh-CN"/>
        </w:rPr>
        <w:t>书面</w:t>
      </w:r>
      <w:r>
        <w:rPr>
          <w:rFonts w:hint="default" w:ascii="宋体" w:hAnsi="宋体" w:eastAsia="宋体" w:cs="仿宋"/>
          <w:color w:val="auto"/>
          <w:sz w:val="21"/>
          <w:szCs w:val="21"/>
          <w:highlight w:val="none"/>
          <w:shd w:val="clear" w:color="auto" w:fill="FFFFFF"/>
        </w:rPr>
        <w:t>同意后可调整授课形式。</w:t>
      </w:r>
    </w:p>
    <w:p w14:paraId="24F56CA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（4）</w:t>
      </w:r>
      <w:r>
        <w:rPr>
          <w:rFonts w:hint="default" w:ascii="宋体" w:hAnsi="宋体" w:eastAsia="宋体" w:cs="仿宋"/>
          <w:color w:val="auto"/>
          <w:sz w:val="21"/>
          <w:szCs w:val="21"/>
          <w:highlight w:val="none"/>
          <w:shd w:val="clear" w:color="auto" w:fill="FFFFFF"/>
        </w:rPr>
        <w:t>课程及讲师要求。培训课程内容主要为婚姻家庭辅导知识、管理知识以及社会工作实务所需的其它专业知识；须根据课程设计组织符合资质的人担任授课讲师，可包括高校社会工作专业教师、具备丰富社会服务经验的资深社会服务人士或其它相关专业人员。</w:t>
      </w:r>
    </w:p>
    <w:p w14:paraId="33706DE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6、</w:t>
      </w:r>
      <w:r>
        <w:rPr>
          <w:rFonts w:hint="default" w:ascii="宋体" w:hAnsi="宋体" w:eastAsia="宋体" w:cs="仿宋"/>
          <w:color w:val="auto"/>
          <w:sz w:val="21"/>
          <w:szCs w:val="21"/>
          <w:highlight w:val="none"/>
          <w:shd w:val="clear" w:color="auto" w:fill="FFFFFF"/>
        </w:rPr>
        <w:t>质量保证服务要求</w:t>
      </w:r>
    </w:p>
    <w:p w14:paraId="2C3D265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（1）</w:t>
      </w:r>
      <w:r>
        <w:rPr>
          <w:rFonts w:hint="default" w:ascii="宋体" w:hAnsi="宋体" w:eastAsia="宋体" w:cs="仿宋"/>
          <w:color w:val="auto"/>
          <w:sz w:val="21"/>
          <w:szCs w:val="21"/>
          <w:highlight w:val="none"/>
          <w:shd w:val="clear" w:color="auto" w:fill="FFFFFF"/>
        </w:rPr>
        <w:t>乙方应建立全面的质量保证体系，明确各环节的质量标准和要求，确保整个项目服务过程的顺利进行。</w:t>
      </w:r>
    </w:p>
    <w:p w14:paraId="058A65C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（2）</w:t>
      </w:r>
      <w:r>
        <w:rPr>
          <w:rFonts w:hint="default" w:ascii="宋体" w:hAnsi="宋体" w:eastAsia="宋体" w:cs="仿宋"/>
          <w:color w:val="auto"/>
          <w:sz w:val="21"/>
          <w:szCs w:val="21"/>
          <w:highlight w:val="none"/>
          <w:shd w:val="clear" w:color="auto" w:fill="FFFFFF"/>
        </w:rPr>
        <w:t>乙方应制定详细的质量检查表，对每个环节进行定期检查和评估，及时发现并解决问题，确保服务质量符合预定标准。</w:t>
      </w:r>
    </w:p>
    <w:p w14:paraId="39A6F65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eastAsia="zh-CN"/>
        </w:rPr>
        <w:t>（</w:t>
      </w:r>
      <w:r>
        <w:rPr>
          <w:rFonts w:hint="eastAsia" w:ascii="宋体" w:hAnsi="宋体" w:eastAsia="宋体" w:cs="仿宋"/>
          <w:color w:val="auto"/>
          <w:sz w:val="21"/>
          <w:szCs w:val="21"/>
          <w:highlight w:val="none"/>
          <w:shd w:val="clear" w:color="auto" w:fill="FFFFFF"/>
          <w:lang w:val="en-US" w:eastAsia="zh-CN"/>
        </w:rPr>
        <w:t>3</w:t>
      </w:r>
      <w:r>
        <w:rPr>
          <w:rFonts w:hint="eastAsia" w:ascii="宋体" w:hAnsi="宋体" w:eastAsia="宋体" w:cs="仿宋"/>
          <w:color w:val="auto"/>
          <w:sz w:val="21"/>
          <w:szCs w:val="21"/>
          <w:highlight w:val="none"/>
          <w:shd w:val="clear" w:color="auto" w:fill="FFFFFF"/>
          <w:lang w:eastAsia="zh-CN"/>
        </w:rPr>
        <w:t>）</w:t>
      </w:r>
      <w:r>
        <w:rPr>
          <w:rFonts w:hint="default" w:ascii="宋体" w:hAnsi="宋体" w:eastAsia="宋体" w:cs="仿宋"/>
          <w:color w:val="auto"/>
          <w:sz w:val="21"/>
          <w:szCs w:val="21"/>
          <w:highlight w:val="none"/>
          <w:shd w:val="clear" w:color="auto" w:fill="FFFFFF"/>
        </w:rPr>
        <w:t>在服务过程中，如出现质量问题或收到投诉，乙方应迅速响应并及时处理，以保障服务对象的合法权益。</w:t>
      </w:r>
    </w:p>
    <w:p w14:paraId="6369ABE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7、</w:t>
      </w:r>
      <w:r>
        <w:rPr>
          <w:rFonts w:hint="default" w:ascii="宋体" w:hAnsi="宋体" w:eastAsia="宋体" w:cs="仿宋"/>
          <w:color w:val="auto"/>
          <w:sz w:val="21"/>
          <w:szCs w:val="21"/>
          <w:highlight w:val="none"/>
          <w:shd w:val="clear" w:color="auto" w:fill="FFFFFF"/>
        </w:rPr>
        <w:t>组织架构要求</w:t>
      </w:r>
    </w:p>
    <w:p w14:paraId="05BB5E2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（1）</w:t>
      </w:r>
      <w:r>
        <w:rPr>
          <w:rFonts w:hint="default" w:ascii="宋体" w:hAnsi="宋体" w:eastAsia="宋体" w:cs="仿宋"/>
          <w:color w:val="auto"/>
          <w:sz w:val="21"/>
          <w:szCs w:val="21"/>
          <w:highlight w:val="none"/>
          <w:shd w:val="clear" w:color="auto" w:fill="FFFFFF"/>
        </w:rPr>
        <w:t>乙方应具备完善的组织管理架构及岗位职责。</w:t>
      </w:r>
    </w:p>
    <w:p w14:paraId="1E715E1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lang w:val="en-US" w:eastAsia="zh-CN"/>
        </w:rPr>
        <w:t>（2）</w:t>
      </w:r>
      <w:r>
        <w:rPr>
          <w:rFonts w:hint="default" w:ascii="宋体" w:hAnsi="宋体" w:eastAsia="宋体" w:cs="仿宋"/>
          <w:color w:val="auto"/>
          <w:sz w:val="21"/>
          <w:szCs w:val="21"/>
          <w:highlight w:val="none"/>
          <w:shd w:val="clear" w:color="auto" w:fill="FFFFFF"/>
        </w:rPr>
        <w:t>乙方应具备有利于本项目实施的管理服务理念与管理模式。</w:t>
      </w:r>
    </w:p>
    <w:p w14:paraId="1CD9962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color w:val="auto"/>
          <w:highlight w:val="none"/>
        </w:rPr>
      </w:pPr>
      <w:r>
        <w:rPr>
          <w:rFonts w:hint="eastAsia" w:ascii="宋体" w:hAnsi="宋体" w:eastAsia="宋体" w:cs="仿宋"/>
          <w:color w:val="auto"/>
          <w:sz w:val="21"/>
          <w:szCs w:val="21"/>
          <w:highlight w:val="none"/>
          <w:shd w:val="clear" w:color="auto" w:fill="FFFFFF"/>
          <w:lang w:eastAsia="zh-CN"/>
        </w:rPr>
        <w:t>（</w:t>
      </w:r>
      <w:r>
        <w:rPr>
          <w:rFonts w:hint="eastAsia" w:ascii="宋体" w:hAnsi="宋体" w:eastAsia="宋体" w:cs="仿宋"/>
          <w:color w:val="auto"/>
          <w:sz w:val="21"/>
          <w:szCs w:val="21"/>
          <w:highlight w:val="none"/>
          <w:shd w:val="clear" w:color="auto" w:fill="FFFFFF"/>
          <w:lang w:val="en-US" w:eastAsia="zh-CN"/>
        </w:rPr>
        <w:t>3</w:t>
      </w:r>
      <w:r>
        <w:rPr>
          <w:rFonts w:hint="eastAsia" w:ascii="宋体" w:hAnsi="宋体" w:eastAsia="宋体" w:cs="仿宋"/>
          <w:color w:val="auto"/>
          <w:sz w:val="21"/>
          <w:szCs w:val="21"/>
          <w:highlight w:val="none"/>
          <w:shd w:val="clear" w:color="auto" w:fill="FFFFFF"/>
          <w:lang w:eastAsia="zh-CN"/>
        </w:rPr>
        <w:t>）</w:t>
      </w:r>
      <w:r>
        <w:rPr>
          <w:rFonts w:hint="default" w:ascii="宋体" w:hAnsi="宋体" w:eastAsia="宋体" w:cs="仿宋"/>
          <w:color w:val="auto"/>
          <w:sz w:val="21"/>
          <w:szCs w:val="21"/>
          <w:highlight w:val="none"/>
          <w:shd w:val="clear" w:color="auto" w:fill="FFFFFF"/>
        </w:rPr>
        <w:t>乙方应建立完善的员工选拔和培训机制，确保服务人员具备专业技能和良好的职业素养。</w:t>
      </w:r>
    </w:p>
    <w:p w14:paraId="13E80047">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合同价</w:t>
      </w:r>
    </w:p>
    <w:p w14:paraId="49929B3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1、合同总价包含：人员工资及福利费用、社保费用、管理费、开展活动用的物资成本费用、培训费用、各种税费及合同实施过程中的不可预见费用等全部费用。</w:t>
      </w:r>
    </w:p>
    <w:p w14:paraId="3B5655B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w:t>
      </w:r>
    </w:p>
    <w:p w14:paraId="0CAB404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乙方</w:t>
      </w:r>
      <w:r>
        <w:rPr>
          <w:rFonts w:hint="default" w:ascii="宋体" w:hAnsi="宋体" w:eastAsia="宋体"/>
          <w:color w:val="auto"/>
          <w:sz w:val="21"/>
          <w:szCs w:val="21"/>
          <w:highlight w:val="none"/>
        </w:rPr>
        <w:t>要严格按照《东莞市民政局 东莞市财政局关于印发〈政府购买社会工作服务资金使用管理办法〉的通知》（东民规〔2021〕2号）要求使用项目经费。合同期结束后，服务活动成本有结余的，</w:t>
      </w:r>
      <w:bookmarkStart w:id="86" w:name="OLE_LINK3"/>
      <w:r>
        <w:rPr>
          <w:rFonts w:hint="default" w:ascii="宋体" w:hAnsi="宋体" w:eastAsia="宋体"/>
          <w:color w:val="auto"/>
          <w:sz w:val="21"/>
          <w:szCs w:val="21"/>
          <w:highlight w:val="none"/>
        </w:rPr>
        <w:t>需将结余部分</w:t>
      </w:r>
      <w:r>
        <w:rPr>
          <w:rFonts w:hint="eastAsia" w:ascii="宋体" w:hAnsi="宋体" w:eastAsia="宋体"/>
          <w:color w:val="auto"/>
          <w:sz w:val="21"/>
          <w:szCs w:val="21"/>
          <w:highlight w:val="none"/>
          <w:lang w:eastAsia="zh-CN"/>
        </w:rPr>
        <w:t>于合同结束后五个工作日内</w:t>
      </w:r>
      <w:r>
        <w:rPr>
          <w:rFonts w:hint="default" w:ascii="宋体" w:hAnsi="宋体" w:eastAsia="宋体"/>
          <w:color w:val="auto"/>
          <w:sz w:val="21"/>
          <w:szCs w:val="21"/>
          <w:highlight w:val="none"/>
        </w:rPr>
        <w:t>退回</w:t>
      </w:r>
      <w:r>
        <w:rPr>
          <w:rFonts w:hint="eastAsia" w:ascii="宋体" w:hAnsi="宋体" w:eastAsia="宋体"/>
          <w:color w:val="auto"/>
          <w:sz w:val="21"/>
          <w:szCs w:val="21"/>
          <w:highlight w:val="none"/>
          <w:lang w:eastAsia="zh-CN"/>
        </w:rPr>
        <w:t>甲方</w:t>
      </w:r>
      <w:r>
        <w:rPr>
          <w:rFonts w:hint="default" w:ascii="宋体" w:hAnsi="宋体" w:eastAsia="宋体"/>
          <w:color w:val="auto"/>
          <w:sz w:val="21"/>
          <w:szCs w:val="21"/>
          <w:highlight w:val="none"/>
        </w:rPr>
        <w:t>。</w:t>
      </w:r>
    </w:p>
    <w:bookmarkEnd w:id="86"/>
    <w:p w14:paraId="51689EA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4、</w:t>
      </w:r>
      <w:r>
        <w:rPr>
          <w:rFonts w:hint="default" w:ascii="宋体" w:hAnsi="宋体" w:eastAsia="宋体"/>
          <w:color w:val="auto"/>
          <w:sz w:val="21"/>
          <w:szCs w:val="21"/>
          <w:highlight w:val="none"/>
        </w:rPr>
        <w:t>如项目期内，</w:t>
      </w:r>
      <w:r>
        <w:rPr>
          <w:rFonts w:hint="eastAsia" w:ascii="宋体" w:hAnsi="宋体" w:eastAsia="宋体"/>
          <w:color w:val="auto"/>
          <w:sz w:val="21"/>
          <w:szCs w:val="21"/>
          <w:highlight w:val="none"/>
          <w:lang w:eastAsia="zh-CN"/>
        </w:rPr>
        <w:t>乙方</w:t>
      </w:r>
      <w:r>
        <w:rPr>
          <w:rFonts w:hint="default" w:ascii="宋体" w:hAnsi="宋体" w:eastAsia="宋体"/>
          <w:color w:val="auto"/>
          <w:sz w:val="21"/>
          <w:szCs w:val="21"/>
          <w:highlight w:val="none"/>
        </w:rPr>
        <w:t>安排的项目人员存在缺岗情况，且缺岗时间超过15天以上（按自然日计算）仍未安排</w:t>
      </w:r>
      <w:r>
        <w:rPr>
          <w:rFonts w:hint="eastAsia" w:ascii="宋体" w:hAnsi="宋体" w:eastAsia="宋体"/>
          <w:color w:val="auto"/>
          <w:sz w:val="21"/>
          <w:szCs w:val="21"/>
          <w:highlight w:val="none"/>
          <w:lang w:val="en-US" w:eastAsia="zh-CN"/>
        </w:rPr>
        <w:t>同等条件</w:t>
      </w:r>
      <w:r>
        <w:rPr>
          <w:rFonts w:hint="default" w:ascii="宋体" w:hAnsi="宋体" w:eastAsia="宋体"/>
          <w:color w:val="auto"/>
          <w:sz w:val="21"/>
          <w:szCs w:val="21"/>
          <w:highlight w:val="none"/>
        </w:rPr>
        <w:t>人员上岗的，由</w:t>
      </w:r>
      <w:r>
        <w:rPr>
          <w:rFonts w:hint="eastAsia" w:ascii="宋体" w:hAnsi="宋体" w:eastAsia="宋体"/>
          <w:color w:val="auto"/>
          <w:sz w:val="21"/>
          <w:szCs w:val="21"/>
          <w:highlight w:val="none"/>
          <w:lang w:eastAsia="zh-CN"/>
        </w:rPr>
        <w:t>甲方</w:t>
      </w:r>
      <w:r>
        <w:rPr>
          <w:rFonts w:hint="default" w:ascii="宋体" w:hAnsi="宋体" w:eastAsia="宋体"/>
          <w:color w:val="auto"/>
          <w:sz w:val="21"/>
          <w:szCs w:val="21"/>
          <w:highlight w:val="none"/>
        </w:rPr>
        <w:t xml:space="preserve">根据缺岗天数扣减项目经费，具体如下: </w:t>
      </w:r>
    </w:p>
    <w:p w14:paraId="0F081D0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rPr>
        <w:t xml:space="preserve">单个项目人员缺岗15天以上30天（含）以下的，按照每名项目人员人力成本的4%标准扣减； </w:t>
      </w:r>
    </w:p>
    <w:p w14:paraId="6E69A9F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rPr>
        <w:t>单个项目人员缺岗30天以上45天（含）以下，按照每名项目人员人力成本的8%标准扣减；</w:t>
      </w:r>
    </w:p>
    <w:p w14:paraId="2B19601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rPr>
        <w:t xml:space="preserve">单个项目人员缺岗45天以上60天（含）以下的，按照每名项目人员人力成本的12%标准扣减。 </w:t>
      </w:r>
    </w:p>
    <w:p w14:paraId="3E870BE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rPr>
        <w:t>单个项目人员缺岗60天以上90天（含）以下的，按照每名项目人员人力成本的30%标准扣减。</w:t>
      </w:r>
    </w:p>
    <w:p w14:paraId="4FB9D80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rPr>
        <w:t xml:space="preserve">单个项目人员缺岗90天以上的，按照每名项目人员人力成本的100%标准扣减。 </w:t>
      </w:r>
    </w:p>
    <w:p w14:paraId="27EDEC9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（项目社工人力成本按照9.9万元标准计算</w:t>
      </w:r>
      <w:r>
        <w:rPr>
          <w:rFonts w:hint="default" w:ascii="宋体" w:hAnsi="宋体" w:eastAsia="宋体"/>
          <w:color w:val="auto"/>
          <w:sz w:val="21"/>
          <w:szCs w:val="21"/>
          <w:highlight w:val="none"/>
          <w:lang w:eastAsia="zh-CN"/>
        </w:rPr>
        <w:t>，</w:t>
      </w:r>
      <w:r>
        <w:rPr>
          <w:rFonts w:hint="default" w:ascii="宋体" w:hAnsi="宋体" w:eastAsia="宋体"/>
          <w:color w:val="auto"/>
          <w:sz w:val="21"/>
          <w:szCs w:val="21"/>
          <w:highlight w:val="none"/>
        </w:rPr>
        <w:t>如：项目有两名社工缺岗达20天，按照每名项目人员人力成本的4%标准扣减，则共需扣减9.9万元*4%*2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以此类推</w:t>
      </w:r>
      <w:r>
        <w:rPr>
          <w:rFonts w:hint="default" w:ascii="宋体" w:hAnsi="宋体" w:eastAsia="宋体"/>
          <w:color w:val="auto"/>
          <w:sz w:val="21"/>
          <w:szCs w:val="21"/>
          <w:highlight w:val="none"/>
        </w:rPr>
        <w:t>） 。扣减部分先从未拨付经费中抵扣，未拨付经费不足以支付扣减部分的，由</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lang w:val="en-US" w:eastAsia="zh-CN"/>
        </w:rPr>
        <w:t>知悉之日起五日内</w:t>
      </w:r>
      <w:r>
        <w:rPr>
          <w:rFonts w:hint="default" w:ascii="宋体" w:hAnsi="宋体" w:eastAsia="宋体"/>
          <w:color w:val="auto"/>
          <w:sz w:val="21"/>
          <w:szCs w:val="21"/>
          <w:highlight w:val="none"/>
        </w:rPr>
        <w:t>退还至</w:t>
      </w:r>
      <w:r>
        <w:rPr>
          <w:rFonts w:hint="eastAsia" w:ascii="宋体" w:hAnsi="宋体" w:eastAsia="宋体"/>
          <w:color w:val="auto"/>
          <w:sz w:val="21"/>
          <w:szCs w:val="21"/>
          <w:highlight w:val="none"/>
          <w:lang w:eastAsia="zh-CN"/>
        </w:rPr>
        <w:t>甲方</w:t>
      </w:r>
      <w:r>
        <w:rPr>
          <w:rFonts w:hint="default" w:ascii="宋体" w:hAnsi="宋体" w:eastAsia="宋体"/>
          <w:color w:val="auto"/>
          <w:sz w:val="21"/>
          <w:szCs w:val="21"/>
          <w:highlight w:val="none"/>
        </w:rPr>
        <w:t>指定账户</w:t>
      </w:r>
      <w:r>
        <w:rPr>
          <w:rFonts w:hint="eastAsia" w:ascii="宋体" w:hAnsi="宋体" w:eastAsia="宋体"/>
          <w:color w:val="auto"/>
          <w:sz w:val="21"/>
          <w:szCs w:val="21"/>
          <w:highlight w:val="none"/>
          <w:lang w:eastAsia="zh-CN"/>
        </w:rPr>
        <w:t>。</w:t>
      </w:r>
    </w:p>
    <w:p w14:paraId="437832C8">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14:paraId="511CB9D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14:paraId="495DB52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u w:val="none"/>
          <w:lang w:eastAsia="zh-CN"/>
        </w:rPr>
      </w:pPr>
      <w:r>
        <w:rPr>
          <w:rFonts w:hint="eastAsia" w:ascii="宋体" w:hAnsi="宋体" w:eastAsia="宋体"/>
          <w:color w:val="auto"/>
          <w:sz w:val="21"/>
          <w:szCs w:val="21"/>
          <w:highlight w:val="none"/>
        </w:rPr>
        <w:t>2、服务地点：</w:t>
      </w:r>
      <w:r>
        <w:rPr>
          <w:rFonts w:hint="eastAsia" w:ascii="宋体" w:hAnsi="宋体" w:eastAsia="宋体"/>
          <w:color w:val="auto"/>
          <w:sz w:val="21"/>
          <w:szCs w:val="21"/>
          <w:highlight w:val="none"/>
          <w:u w:val="none"/>
          <w:lang w:eastAsia="zh-CN"/>
        </w:rPr>
        <w:t>东莞市婚姻登记管理中心。</w:t>
      </w:r>
    </w:p>
    <w:p w14:paraId="2A57F9AF">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14:paraId="10BC916B">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1、本合同的付款方式为：</w:t>
      </w:r>
    </w:p>
    <w:p w14:paraId="7955391F">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（1）待2026年财政预算下达经费后，</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向</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支付项目30%合同经费。</w:t>
      </w:r>
    </w:p>
    <w:p w14:paraId="288DC253">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（2）项目运营满6个月并经</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验收合格后，</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向</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支付项目30%合同经费。</w:t>
      </w:r>
    </w:p>
    <w:p w14:paraId="1BCB2521">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（3）完成合同约定工作</w:t>
      </w:r>
      <w:r>
        <w:rPr>
          <w:rFonts w:hint="eastAsia" w:ascii="宋体" w:hAnsi="宋体"/>
          <w:color w:val="auto"/>
          <w:sz w:val="21"/>
          <w:szCs w:val="21"/>
          <w:highlight w:val="none"/>
          <w:lang w:eastAsia="zh-CN"/>
        </w:rPr>
        <w:t>并</w:t>
      </w:r>
      <w:r>
        <w:rPr>
          <w:rFonts w:hint="eastAsia" w:ascii="宋体" w:hAnsi="宋体" w:eastAsia="宋体"/>
          <w:color w:val="auto"/>
          <w:sz w:val="21"/>
          <w:szCs w:val="21"/>
          <w:highlight w:val="none"/>
        </w:rPr>
        <w:t>经</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验收合格后，</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向</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支付项目30%合同经费。</w:t>
      </w:r>
    </w:p>
    <w:p w14:paraId="01D01FD0">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（4）剩余10%合同经费根据项目考核评估结果拨付，评估结果为合格或以上的，余下10%合同经费全额支付；评估结果为不合格的，扣减余下10%合同经费。</w:t>
      </w:r>
    </w:p>
    <w:p w14:paraId="3D8992BA">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付款前乙方应向甲方提出请款申请及所需的材料和等额有效发票。若乙方未及时提供合法有效的发票，则付款时间顺延。本合同的经费由政府拨款，如因政策影响，拨款未能及时到位，乙方不得以此为由而不履行本合同规定的义务。否则，甲方按规定追究乙方违约责任。如果乙方怠于或者拒绝提供资料或者办理手续的，则因此产生的付款迟延的责任全部由乙方承担。</w:t>
      </w:r>
    </w:p>
    <w:p w14:paraId="22EC8C1F">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14:paraId="39BD401E">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1、验收应在甲乙双方共同参加下进行，依据本合同的有关规定进行验收，并按国家有关规定、规范进行。</w:t>
      </w:r>
    </w:p>
    <w:p w14:paraId="321A0BC9">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、对验收不合格的部分，乙方应在甲方规定时间内及时整改完善直至合格。</w:t>
      </w:r>
    </w:p>
    <w:p w14:paraId="62B21DBC">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heme="minorBidi"/>
          <w:b/>
          <w:bCs/>
          <w:color w:val="auto"/>
          <w:kern w:val="0"/>
          <w:sz w:val="21"/>
          <w:szCs w:val="21"/>
          <w:highlight w:val="none"/>
          <w:u w:val="none"/>
          <w:lang w:val="en-US" w:eastAsia="zh-CN" w:bidi="ar-SA"/>
        </w:rPr>
      </w:pPr>
      <w:r>
        <w:rPr>
          <w:rFonts w:hint="eastAsia" w:ascii="宋体" w:hAnsi="宋体" w:eastAsia="宋体" w:cstheme="minorBidi"/>
          <w:b/>
          <w:bCs/>
          <w:color w:val="auto"/>
          <w:kern w:val="0"/>
          <w:sz w:val="21"/>
          <w:szCs w:val="21"/>
          <w:highlight w:val="none"/>
          <w:u w:val="none"/>
          <w:lang w:val="en-US" w:eastAsia="zh-CN" w:bidi="ar-SA"/>
        </w:rPr>
        <w:t>第八条 保密</w:t>
      </w:r>
    </w:p>
    <w:p w14:paraId="78734B1D">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color w:val="auto"/>
          <w:kern w:val="0"/>
          <w:sz w:val="21"/>
          <w:szCs w:val="21"/>
          <w:highlight w:val="none"/>
          <w:u w:val="none"/>
          <w:lang w:val="en-US" w:eastAsia="zh-CN" w:bidi="ar-SA"/>
        </w:rPr>
      </w:pPr>
      <w:r>
        <w:rPr>
          <w:rFonts w:hint="eastAsia" w:ascii="宋体" w:hAnsi="宋体" w:eastAsia="宋体" w:cstheme="minorBidi"/>
          <w:color w:val="auto"/>
          <w:kern w:val="0"/>
          <w:sz w:val="21"/>
          <w:szCs w:val="21"/>
          <w:highlight w:val="none"/>
          <w:u w:val="none"/>
          <w:lang w:val="en-US" w:eastAsia="zh-CN" w:bidi="ar-SA"/>
        </w:rPr>
        <w:t>乙方应在履行合同过程对项目人员组好相关的保密提示，保证项目人员对所获悉的属于甲方或督导人员的且无法从公开渠道获得的文件资料及信息予以严格保密并应采取相应的保密措施，保证自身及项目人员不私自使用或向任何第三方泄露，若因乙方为做好相关提示保密工作而导致项目人员给甲方造成损失的，乙方应承担连带责任。无论本合同是否生效、变更、撤销、解除或终止，本保密条款不受其限制继续有效。</w:t>
      </w:r>
    </w:p>
    <w:p w14:paraId="22DCA40B">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w:t>
      </w:r>
      <w:r>
        <w:rPr>
          <w:rFonts w:hint="eastAsia" w:ascii="宋体" w:hAnsi="宋体" w:eastAsia="宋体" w:cstheme="minorBidi"/>
          <w:b/>
          <w:bCs/>
          <w:color w:val="auto"/>
          <w:kern w:val="0"/>
          <w:sz w:val="21"/>
          <w:szCs w:val="21"/>
          <w:highlight w:val="none"/>
          <w:u w:val="none"/>
          <w:lang w:val="en-US" w:eastAsia="zh-CN" w:bidi="ar-SA"/>
        </w:rPr>
        <w:t>九</w:t>
      </w:r>
      <w:r>
        <w:rPr>
          <w:rFonts w:hint="eastAsia" w:ascii="宋体" w:hAnsi="宋体" w:eastAsia="宋体"/>
          <w:b/>
          <w:color w:val="auto"/>
          <w:sz w:val="21"/>
          <w:szCs w:val="21"/>
          <w:highlight w:val="none"/>
        </w:rPr>
        <w:t>条 税和关税</w:t>
      </w:r>
    </w:p>
    <w:p w14:paraId="34605B72">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14:paraId="72C1D95F">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14:paraId="5698D51A">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14:paraId="087343A1">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w:t>
      </w:r>
      <w:r>
        <w:rPr>
          <w:rFonts w:hint="eastAsia" w:ascii="宋体" w:hAnsi="宋体" w:eastAsia="宋体" w:cstheme="minorBidi"/>
          <w:b/>
          <w:bCs/>
          <w:color w:val="auto"/>
          <w:kern w:val="0"/>
          <w:sz w:val="21"/>
          <w:szCs w:val="21"/>
          <w:highlight w:val="none"/>
          <w:u w:val="none"/>
          <w:lang w:val="en-US" w:eastAsia="zh-CN" w:bidi="ar-SA"/>
        </w:rPr>
        <w:t>十</w:t>
      </w:r>
      <w:r>
        <w:rPr>
          <w:rFonts w:hint="eastAsia" w:ascii="宋体" w:hAnsi="宋体" w:eastAsia="宋体"/>
          <w:b/>
          <w:color w:val="auto"/>
          <w:sz w:val="21"/>
          <w:szCs w:val="21"/>
          <w:highlight w:val="none"/>
        </w:rPr>
        <w:t>条 其它约定</w:t>
      </w:r>
    </w:p>
    <w:p w14:paraId="1F67724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14:paraId="3C0030C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14:paraId="250DE4D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14:paraId="5F663A1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14:paraId="3C4AEF0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14:paraId="6925477E">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w:t>
      </w:r>
      <w:r>
        <w:rPr>
          <w:rFonts w:hint="eastAsia" w:ascii="宋体" w:hAnsi="宋体" w:eastAsia="宋体" w:cstheme="minorBidi"/>
          <w:b/>
          <w:bCs/>
          <w:color w:val="auto"/>
          <w:kern w:val="0"/>
          <w:sz w:val="21"/>
          <w:szCs w:val="21"/>
          <w:highlight w:val="none"/>
          <w:u w:val="none"/>
          <w:lang w:val="en-US" w:eastAsia="zh-CN" w:bidi="ar-SA"/>
        </w:rPr>
        <w:t>十一</w:t>
      </w:r>
      <w:r>
        <w:rPr>
          <w:rFonts w:hint="eastAsia" w:ascii="宋体" w:hAnsi="宋体" w:eastAsia="宋体"/>
          <w:b/>
          <w:color w:val="auto"/>
          <w:sz w:val="21"/>
          <w:szCs w:val="21"/>
          <w:highlight w:val="none"/>
        </w:rPr>
        <w:t>条 违约责任</w:t>
      </w:r>
    </w:p>
    <w:p w14:paraId="42FE241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14:paraId="1D95AD4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5"/>
    <w:p w14:paraId="5DD139F5">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w:t>
      </w:r>
      <w:r>
        <w:rPr>
          <w:rFonts w:hint="eastAsia" w:ascii="宋体" w:hAnsi="宋体" w:eastAsia="宋体" w:cstheme="minorBidi"/>
          <w:b/>
          <w:bCs/>
          <w:color w:val="auto"/>
          <w:kern w:val="0"/>
          <w:sz w:val="21"/>
          <w:szCs w:val="21"/>
          <w:highlight w:val="none"/>
          <w:u w:val="none"/>
          <w:lang w:val="en-US" w:eastAsia="zh-CN" w:bidi="ar-SA"/>
        </w:rPr>
        <w:t>十二</w:t>
      </w:r>
      <w:r>
        <w:rPr>
          <w:rFonts w:hint="eastAsia" w:ascii="宋体" w:hAnsi="宋体" w:eastAsia="宋体"/>
          <w:b/>
          <w:color w:val="auto"/>
          <w:sz w:val="21"/>
          <w:szCs w:val="21"/>
          <w:highlight w:val="none"/>
        </w:rPr>
        <w:t>条 争议的解决</w:t>
      </w:r>
    </w:p>
    <w:p w14:paraId="584AA9F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14:paraId="5E22A97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14:paraId="36C5686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14:paraId="6A00083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14:paraId="1218B1F5">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w:t>
      </w:r>
      <w:r>
        <w:rPr>
          <w:rFonts w:hint="eastAsia" w:ascii="宋体" w:hAnsi="宋体" w:eastAsia="宋体" w:cstheme="minorBidi"/>
          <w:b/>
          <w:bCs/>
          <w:color w:val="auto"/>
          <w:kern w:val="0"/>
          <w:sz w:val="21"/>
          <w:szCs w:val="21"/>
          <w:highlight w:val="none"/>
          <w:u w:val="none"/>
          <w:lang w:val="en-US" w:eastAsia="zh-CN" w:bidi="ar-SA"/>
        </w:rPr>
        <w:t>十三</w:t>
      </w:r>
      <w:r>
        <w:rPr>
          <w:rFonts w:hint="eastAsia" w:ascii="宋体" w:hAnsi="宋体" w:eastAsia="宋体"/>
          <w:b/>
          <w:color w:val="auto"/>
          <w:sz w:val="21"/>
          <w:szCs w:val="21"/>
          <w:highlight w:val="none"/>
          <w:lang w:val="en-US" w:eastAsia="zh-CN"/>
        </w:rPr>
        <w:t>条</w:t>
      </w:r>
      <w:r>
        <w:rPr>
          <w:rFonts w:hint="eastAsia" w:ascii="宋体" w:hAnsi="宋体" w:eastAsia="宋体"/>
          <w:b/>
          <w:color w:val="auto"/>
          <w:sz w:val="21"/>
          <w:szCs w:val="21"/>
          <w:highlight w:val="none"/>
        </w:rPr>
        <w:t xml:space="preserve"> 合同生效</w:t>
      </w:r>
      <w:bookmarkEnd w:id="88"/>
    </w:p>
    <w:p w14:paraId="1CFFA85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14:paraId="27BA28E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14:paraId="784987BD">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第</w:t>
      </w:r>
      <w:r>
        <w:rPr>
          <w:rFonts w:hint="eastAsia" w:ascii="宋体" w:hAnsi="宋体" w:eastAsia="宋体" w:cstheme="minorBidi"/>
          <w:b/>
          <w:bCs/>
          <w:color w:val="auto"/>
          <w:kern w:val="0"/>
          <w:sz w:val="21"/>
          <w:szCs w:val="21"/>
          <w:highlight w:val="none"/>
          <w:u w:val="none"/>
          <w:lang w:val="en-US" w:eastAsia="zh-CN" w:bidi="ar-SA"/>
        </w:rPr>
        <w:t>十四</w:t>
      </w:r>
      <w:r>
        <w:rPr>
          <w:rFonts w:hint="eastAsia" w:ascii="宋体" w:hAnsi="宋体" w:eastAsia="宋体"/>
          <w:b/>
          <w:color w:val="auto"/>
          <w:sz w:val="21"/>
          <w:szCs w:val="21"/>
          <w:highlight w:val="none"/>
        </w:rPr>
        <w:t>条 其它</w:t>
      </w:r>
      <w:bookmarkEnd w:id="87"/>
    </w:p>
    <w:p w14:paraId="57338D8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14:paraId="36BC68A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2452BF6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14:paraId="1C6F7939">
      <w:pPr>
        <w:pStyle w:val="2"/>
        <w:rPr>
          <w:rFonts w:hint="eastAsia"/>
          <w:color w:val="auto"/>
          <w:highlight w:val="none"/>
        </w:rPr>
      </w:pPr>
    </w:p>
    <w:p w14:paraId="512CCB75">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theme="minorBidi"/>
          <w:color w:val="auto"/>
          <w:kern w:val="0"/>
          <w:sz w:val="21"/>
          <w:szCs w:val="21"/>
          <w:highlight w:val="none"/>
          <w:u w:val="none"/>
          <w:lang w:val="en-US" w:eastAsia="zh-CN" w:bidi="ar-SA"/>
        </w:rPr>
      </w:pPr>
      <w:r>
        <w:rPr>
          <w:rFonts w:hint="eastAsia" w:ascii="宋体" w:hAnsi="宋体" w:eastAsia="宋体"/>
          <w:color w:val="auto"/>
          <w:sz w:val="21"/>
          <w:szCs w:val="21"/>
          <w:highlight w:val="none"/>
        </w:rPr>
        <w:t xml:space="preserve">甲方（盖章）：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乙方（盖章）：</w:t>
      </w:r>
      <w:r>
        <w:rPr>
          <w:rFonts w:hint="eastAsia" w:ascii="宋体" w:hAnsi="宋体" w:eastAsia="宋体"/>
          <w:color w:val="auto"/>
          <w:sz w:val="21"/>
          <w:szCs w:val="21"/>
          <w:highlight w:val="none"/>
          <w:lang w:val="en-US" w:eastAsia="zh-CN"/>
        </w:rPr>
        <w:t xml:space="preserve">             </w:t>
      </w:r>
    </w:p>
    <w:p w14:paraId="533C0B2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宋体" w:hAnsi="宋体" w:eastAsia="宋体"/>
          <w:color w:val="auto"/>
          <w:sz w:val="21"/>
          <w:szCs w:val="21"/>
          <w:highlight w:val="none"/>
          <w:lang w:val="en-US" w:eastAsia="zh-CN"/>
        </w:rPr>
      </w:pPr>
    </w:p>
    <w:p w14:paraId="5E2873EF">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宋体" w:hAnsi="宋体" w:eastAsia="宋体" w:cstheme="minorBidi"/>
          <w:color w:val="auto"/>
          <w:kern w:val="0"/>
          <w:sz w:val="21"/>
          <w:szCs w:val="21"/>
          <w:highlight w:val="none"/>
          <w:u w:val="none"/>
          <w:lang w:val="en-US" w:eastAsia="zh-CN" w:bidi="ar-SA"/>
        </w:rPr>
      </w:pPr>
      <w:r>
        <w:rPr>
          <w:rFonts w:hint="eastAsia" w:ascii="宋体" w:hAnsi="宋体" w:eastAsia="宋体" w:cstheme="minorBidi"/>
          <w:color w:val="auto"/>
          <w:kern w:val="0"/>
          <w:sz w:val="21"/>
          <w:szCs w:val="21"/>
          <w:highlight w:val="none"/>
          <w:u w:val="none"/>
          <w:lang w:val="en-US" w:eastAsia="zh-CN" w:bidi="ar-SA"/>
        </w:rPr>
        <w:t>法定代表或委托代理人(签字)：                  法定代表(签字)：                                       地址：                                        地址：</w:t>
      </w:r>
    </w:p>
    <w:p w14:paraId="1B128DC6">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theme="minorBidi"/>
          <w:color w:val="auto"/>
          <w:kern w:val="0"/>
          <w:sz w:val="21"/>
          <w:szCs w:val="21"/>
          <w:highlight w:val="none"/>
          <w:u w:val="none"/>
          <w:lang w:val="en-US" w:eastAsia="zh-CN" w:bidi="ar-SA"/>
        </w:rPr>
      </w:pPr>
      <w:r>
        <w:rPr>
          <w:rFonts w:hint="eastAsia" w:ascii="宋体" w:hAnsi="宋体" w:eastAsia="宋体" w:cstheme="minorBidi"/>
          <w:color w:val="auto"/>
          <w:kern w:val="0"/>
          <w:sz w:val="21"/>
          <w:szCs w:val="21"/>
          <w:highlight w:val="none"/>
          <w:u w:val="none"/>
          <w:lang w:val="en-US" w:eastAsia="zh-CN" w:bidi="ar-SA"/>
        </w:rPr>
        <w:t xml:space="preserve">电话：                                        电话：                    </w:t>
      </w:r>
    </w:p>
    <w:p w14:paraId="4421BF7B">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宋体" w:hAnsi="宋体" w:eastAsia="宋体" w:cstheme="minorBidi"/>
          <w:color w:val="auto"/>
          <w:kern w:val="0"/>
          <w:sz w:val="21"/>
          <w:szCs w:val="21"/>
          <w:highlight w:val="none"/>
          <w:u w:val="none"/>
          <w:lang w:val="en-US" w:eastAsia="zh-CN" w:bidi="ar-SA"/>
        </w:rPr>
      </w:pPr>
      <w:r>
        <w:rPr>
          <w:rFonts w:hint="eastAsia" w:ascii="宋体" w:hAnsi="宋体" w:eastAsia="宋体" w:cstheme="minorBidi"/>
          <w:color w:val="auto"/>
          <w:kern w:val="0"/>
          <w:sz w:val="21"/>
          <w:szCs w:val="21"/>
          <w:highlight w:val="none"/>
          <w:u w:val="none"/>
          <w:lang w:val="en-US" w:eastAsia="zh-CN" w:bidi="ar-SA"/>
        </w:rPr>
        <w:t>开户银行：</w:t>
      </w:r>
      <w:r>
        <w:rPr>
          <w:rFonts w:hint="eastAsia" w:ascii="宋体" w:hAnsi="宋体" w:eastAsia="宋体" w:cstheme="minorBidi"/>
          <w:color w:val="auto"/>
          <w:kern w:val="0"/>
          <w:sz w:val="21"/>
          <w:szCs w:val="21"/>
          <w:highlight w:val="none"/>
          <w:u w:val="none"/>
          <w:lang w:val="en-US" w:eastAsia="zh-CN" w:bidi="ar-SA"/>
        </w:rPr>
        <w:tab/>
      </w:r>
      <w:r>
        <w:rPr>
          <w:rFonts w:hint="eastAsia" w:ascii="宋体" w:hAnsi="宋体" w:eastAsia="宋体" w:cstheme="minorBidi"/>
          <w:color w:val="auto"/>
          <w:kern w:val="0"/>
          <w:sz w:val="21"/>
          <w:szCs w:val="21"/>
          <w:highlight w:val="none"/>
          <w:u w:val="none"/>
          <w:lang w:val="en-US" w:eastAsia="zh-CN" w:bidi="ar-SA"/>
        </w:rPr>
        <w:t xml:space="preserve">                                开户银行：                                              账号：                                        账号：                         </w:t>
      </w:r>
    </w:p>
    <w:p w14:paraId="1C668C07">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宋体" w:hAnsi="宋体" w:eastAsia="宋体"/>
          <w:color w:val="auto"/>
          <w:sz w:val="21"/>
          <w:szCs w:val="21"/>
          <w:highlight w:val="none"/>
        </w:rPr>
      </w:pPr>
      <w:r>
        <w:rPr>
          <w:rFonts w:hint="eastAsia" w:ascii="宋体" w:hAnsi="宋体" w:eastAsia="宋体" w:cstheme="minorBidi"/>
          <w:color w:val="auto"/>
          <w:kern w:val="0"/>
          <w:sz w:val="21"/>
          <w:szCs w:val="21"/>
          <w:highlight w:val="none"/>
          <w:u w:val="none"/>
          <w:lang w:val="en-US" w:eastAsia="zh-CN" w:bidi="ar-SA"/>
        </w:rPr>
        <w:t xml:space="preserve">签约时间：                                    签约时间：                 </w:t>
      </w:r>
    </w:p>
    <w:p w14:paraId="34EA91F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宋体" w:hAnsi="宋体" w:eastAsia="宋体"/>
          <w:color w:val="auto"/>
          <w:sz w:val="21"/>
          <w:szCs w:val="21"/>
          <w:highlight w:val="none"/>
          <w:lang w:val="en-US" w:eastAsia="zh-CN"/>
        </w:rPr>
      </w:pPr>
    </w:p>
    <w:p w14:paraId="4C414329">
      <w:pPr>
        <w:pageBreakBefore w:val="0"/>
        <w:kinsoku/>
        <w:topLinePunct w:val="0"/>
        <w:autoSpaceDE/>
        <w:autoSpaceDN/>
        <w:bidi w:val="0"/>
        <w:spacing w:line="360" w:lineRule="auto"/>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14:paraId="4F3E7730">
      <w:pPr>
        <w:pageBreakBefore w:val="0"/>
        <w:kinsoku/>
        <w:topLinePunct w:val="0"/>
        <w:autoSpaceDE/>
        <w:autoSpaceDN/>
        <w:bidi w:val="0"/>
        <w:spacing w:line="360" w:lineRule="auto"/>
        <w:rPr>
          <w:rFonts w:hint="eastAsia"/>
          <w:color w:val="auto"/>
          <w:sz w:val="28"/>
          <w:szCs w:val="28"/>
          <w:highlight w:val="none"/>
        </w:rPr>
      </w:pPr>
      <w:r>
        <w:rPr>
          <w:rFonts w:hint="eastAsia" w:ascii="宋体" w:hAnsi="宋体" w:eastAsia="宋体"/>
          <w:b/>
          <w:color w:val="auto"/>
          <w:sz w:val="21"/>
          <w:szCs w:val="21"/>
          <w:highlight w:val="none"/>
        </w:rPr>
        <w:br w:type="page"/>
      </w:r>
    </w:p>
    <w:p w14:paraId="1E10252E">
      <w:pPr>
        <w:pStyle w:val="3"/>
        <w:pageBreakBefore w:val="0"/>
        <w:kinsoku/>
        <w:topLinePunct w:val="0"/>
        <w:autoSpaceDE/>
        <w:autoSpaceDN/>
        <w:bidi w:val="0"/>
        <w:spacing w:before="0" w:after="0" w:line="360" w:lineRule="auto"/>
        <w:rPr>
          <w:color w:val="auto"/>
          <w:sz w:val="28"/>
          <w:szCs w:val="28"/>
          <w:highlight w:val="none"/>
        </w:rPr>
      </w:pPr>
      <w:bookmarkStart w:id="89" w:name="_Toc15795"/>
      <w:r>
        <w:rPr>
          <w:rFonts w:hint="eastAsia"/>
          <w:color w:val="auto"/>
          <w:sz w:val="28"/>
          <w:szCs w:val="28"/>
          <w:highlight w:val="none"/>
        </w:rPr>
        <w:t>第六部分  附件－投标文件格式</w:t>
      </w:r>
      <w:bookmarkEnd w:id="89"/>
    </w:p>
    <w:p w14:paraId="75BBC964">
      <w:pPr>
        <w:pageBreakBefore w:val="0"/>
        <w:kinsoku/>
        <w:topLinePunct w:val="0"/>
        <w:autoSpaceDE/>
        <w:autoSpaceDN/>
        <w:bidi w:val="0"/>
        <w:spacing w:line="360" w:lineRule="auto"/>
        <w:rPr>
          <w:color w:val="auto"/>
          <w:highlight w:val="none"/>
        </w:rPr>
      </w:pPr>
    </w:p>
    <w:p w14:paraId="45D1466D">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0" w:name="_Toc6425"/>
      <w:r>
        <w:rPr>
          <w:rFonts w:hint="eastAsia" w:ascii="宋体" w:hAnsi="宋体" w:eastAsia="宋体"/>
          <w:color w:val="auto"/>
          <w:sz w:val="21"/>
          <w:szCs w:val="21"/>
          <w:highlight w:val="none"/>
        </w:rPr>
        <w:t>附件1.投标文件目录</w:t>
      </w:r>
      <w:bookmarkEnd w:id="90"/>
    </w:p>
    <w:p w14:paraId="7AC28CD5">
      <w:pPr>
        <w:pageBreakBefore w:val="0"/>
        <w:kinsoku/>
        <w:topLinePunct w:val="0"/>
        <w:autoSpaceDE/>
        <w:autoSpaceDN/>
        <w:bidi w:val="0"/>
        <w:spacing w:line="360" w:lineRule="auto"/>
        <w:jc w:val="center"/>
        <w:rPr>
          <w:rFonts w:ascii="黑体" w:eastAsia="黑体"/>
          <w:color w:val="auto"/>
          <w:sz w:val="32"/>
          <w:szCs w:val="32"/>
          <w:highlight w:val="none"/>
        </w:rPr>
      </w:pPr>
    </w:p>
    <w:p w14:paraId="2EB67FF8">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目录</w:t>
      </w:r>
    </w:p>
    <w:p w14:paraId="27CA1D7A">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14:paraId="134BDE85">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6D45398C">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39D4DD7E">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0BA707C4">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14:paraId="4D8EC832">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1" w:name="_Toc10771"/>
      <w:r>
        <w:rPr>
          <w:rFonts w:hint="eastAsia" w:ascii="宋体" w:hAnsi="宋体" w:eastAsia="宋体"/>
          <w:color w:val="auto"/>
          <w:sz w:val="21"/>
          <w:szCs w:val="21"/>
          <w:highlight w:val="none"/>
        </w:rPr>
        <w:t>附件1-1 评分标准索引表</w:t>
      </w:r>
      <w:bookmarkEnd w:id="91"/>
    </w:p>
    <w:p w14:paraId="5FD7EF87">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2A4E1C0F">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6704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4D1F5C21">
            <w:pPr>
              <w:pageBreakBefore w:val="0"/>
              <w:kinsoku/>
              <w:topLinePunct w:val="0"/>
              <w:autoSpaceDE/>
              <w:autoSpaceDN/>
              <w:bidi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14:paraId="11EC0B1D">
            <w:pPr>
              <w:pageBreakBefore w:val="0"/>
              <w:kinsoku/>
              <w:topLinePunct w:val="0"/>
              <w:autoSpaceDE/>
              <w:autoSpaceDN/>
              <w:bidi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14:paraId="12A9471F">
            <w:pPr>
              <w:pageBreakBefore w:val="0"/>
              <w:kinsoku/>
              <w:topLinePunct w:val="0"/>
              <w:autoSpaceDE/>
              <w:autoSpaceDN/>
              <w:bidi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14:paraId="389E8A7D">
            <w:pPr>
              <w:pageBreakBefore w:val="0"/>
              <w:kinsoku/>
              <w:topLinePunct w:val="0"/>
              <w:autoSpaceDE/>
              <w:autoSpaceDN/>
              <w:bidi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14:paraId="0B088A84">
            <w:pPr>
              <w:pageBreakBefore w:val="0"/>
              <w:kinsoku/>
              <w:topLinePunct w:val="0"/>
              <w:autoSpaceDE/>
              <w:autoSpaceDN/>
              <w:bidi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14:paraId="45C6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08F48D9D">
            <w:pPr>
              <w:pageBreakBefore w:val="0"/>
              <w:kinsoku/>
              <w:topLinePunct w:val="0"/>
              <w:autoSpaceDE/>
              <w:autoSpaceDN/>
              <w:bidi w:val="0"/>
              <w:spacing w:after="0" w:line="360" w:lineRule="auto"/>
              <w:rPr>
                <w:rFonts w:ascii="宋体" w:hAnsi="宋体" w:eastAsia="宋体" w:cs="宋体"/>
                <w:color w:val="auto"/>
                <w:highlight w:val="none"/>
              </w:rPr>
            </w:pPr>
            <w:r>
              <w:rPr>
                <w:rFonts w:hint="eastAsia" w:ascii="宋体" w:hAnsi="宋体" w:eastAsia="宋体" w:cs="宋体"/>
                <w:color w:val="auto"/>
                <w:highlight w:val="none"/>
              </w:rPr>
              <w:t>商务评审</w:t>
            </w:r>
          </w:p>
        </w:tc>
      </w:tr>
      <w:tr w14:paraId="067E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81C18BA">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088E1368">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50F3F9F4">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569059D4">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7788D2F2">
            <w:pPr>
              <w:pageBreakBefore w:val="0"/>
              <w:kinsoku/>
              <w:topLinePunct w:val="0"/>
              <w:autoSpaceDE/>
              <w:autoSpaceDN/>
              <w:bidi w:val="0"/>
              <w:spacing w:after="0" w:line="360" w:lineRule="auto"/>
              <w:jc w:val="center"/>
              <w:rPr>
                <w:rFonts w:ascii="宋体" w:hAnsi="宋体" w:eastAsia="宋体" w:cs="宋体"/>
                <w:color w:val="auto"/>
                <w:highlight w:val="none"/>
              </w:rPr>
            </w:pPr>
          </w:p>
        </w:tc>
      </w:tr>
      <w:tr w14:paraId="1BCB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658DBFE">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67948714">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10CD4710">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38CECC8F">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5E39A6E0">
            <w:pPr>
              <w:pageBreakBefore w:val="0"/>
              <w:kinsoku/>
              <w:topLinePunct w:val="0"/>
              <w:autoSpaceDE/>
              <w:autoSpaceDN/>
              <w:bidi w:val="0"/>
              <w:spacing w:after="0" w:line="360" w:lineRule="auto"/>
              <w:jc w:val="center"/>
              <w:rPr>
                <w:rFonts w:ascii="宋体" w:hAnsi="宋体" w:eastAsia="宋体" w:cs="宋体"/>
                <w:color w:val="auto"/>
                <w:highlight w:val="none"/>
              </w:rPr>
            </w:pPr>
          </w:p>
        </w:tc>
      </w:tr>
      <w:tr w14:paraId="3BFE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43EE8BE">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31E4DC7E">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0C514B98">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729913A2">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0BE69776">
            <w:pPr>
              <w:pageBreakBefore w:val="0"/>
              <w:kinsoku/>
              <w:topLinePunct w:val="0"/>
              <w:autoSpaceDE/>
              <w:autoSpaceDN/>
              <w:bidi w:val="0"/>
              <w:spacing w:after="0" w:line="360" w:lineRule="auto"/>
              <w:jc w:val="center"/>
              <w:rPr>
                <w:rFonts w:ascii="宋体" w:hAnsi="宋体" w:eastAsia="宋体" w:cs="宋体"/>
                <w:color w:val="auto"/>
                <w:highlight w:val="none"/>
              </w:rPr>
            </w:pPr>
          </w:p>
        </w:tc>
      </w:tr>
      <w:tr w14:paraId="3E26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1D6E669E">
            <w:pPr>
              <w:pageBreakBefore w:val="0"/>
              <w:kinsoku/>
              <w:topLinePunct w:val="0"/>
              <w:autoSpaceDE/>
              <w:autoSpaceDN/>
              <w:bidi w:val="0"/>
              <w:spacing w:after="0" w:line="360" w:lineRule="auto"/>
              <w:rPr>
                <w:rFonts w:ascii="宋体" w:hAnsi="宋体" w:eastAsia="宋体" w:cs="宋体"/>
                <w:color w:val="auto"/>
                <w:highlight w:val="none"/>
              </w:rPr>
            </w:pPr>
            <w:r>
              <w:rPr>
                <w:rFonts w:hint="eastAsia" w:ascii="宋体" w:hAnsi="宋体" w:eastAsia="宋体" w:cs="宋体"/>
                <w:color w:val="auto"/>
                <w:highlight w:val="none"/>
              </w:rPr>
              <w:t>技术评审</w:t>
            </w:r>
          </w:p>
        </w:tc>
      </w:tr>
      <w:tr w14:paraId="1D4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602C266">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576A319F">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15215C69">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3AEB630E">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1FAB5D7E">
            <w:pPr>
              <w:pageBreakBefore w:val="0"/>
              <w:kinsoku/>
              <w:topLinePunct w:val="0"/>
              <w:autoSpaceDE/>
              <w:autoSpaceDN/>
              <w:bidi w:val="0"/>
              <w:spacing w:after="0" w:line="360" w:lineRule="auto"/>
              <w:jc w:val="center"/>
              <w:rPr>
                <w:rFonts w:ascii="宋体" w:hAnsi="宋体" w:eastAsia="宋体" w:cs="宋体"/>
                <w:color w:val="auto"/>
                <w:highlight w:val="none"/>
              </w:rPr>
            </w:pPr>
          </w:p>
        </w:tc>
      </w:tr>
      <w:tr w14:paraId="5AF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29CA308">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5958F334">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6068CC45">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72556A53">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5EF60F6C">
            <w:pPr>
              <w:pageBreakBefore w:val="0"/>
              <w:kinsoku/>
              <w:topLinePunct w:val="0"/>
              <w:autoSpaceDE/>
              <w:autoSpaceDN/>
              <w:bidi w:val="0"/>
              <w:spacing w:after="0" w:line="360" w:lineRule="auto"/>
              <w:jc w:val="center"/>
              <w:rPr>
                <w:rFonts w:ascii="宋体" w:hAnsi="宋体" w:eastAsia="宋体" w:cs="宋体"/>
                <w:color w:val="auto"/>
                <w:highlight w:val="none"/>
              </w:rPr>
            </w:pPr>
          </w:p>
        </w:tc>
      </w:tr>
      <w:tr w14:paraId="113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5B3C304">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53981B95">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4" w:type="dxa"/>
            <w:vAlign w:val="center"/>
          </w:tcPr>
          <w:p w14:paraId="632AAE03">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46C96687">
            <w:pPr>
              <w:pageBreakBefore w:val="0"/>
              <w:kinsoku/>
              <w:topLinePunct w:val="0"/>
              <w:autoSpaceDE/>
              <w:autoSpaceDN/>
              <w:bidi w:val="0"/>
              <w:spacing w:after="0" w:line="360" w:lineRule="auto"/>
              <w:jc w:val="center"/>
              <w:rPr>
                <w:rFonts w:ascii="宋体" w:hAnsi="宋体" w:eastAsia="宋体" w:cs="宋体"/>
                <w:color w:val="auto"/>
                <w:highlight w:val="none"/>
              </w:rPr>
            </w:pPr>
          </w:p>
        </w:tc>
        <w:tc>
          <w:tcPr>
            <w:tcW w:w="1705" w:type="dxa"/>
            <w:vAlign w:val="center"/>
          </w:tcPr>
          <w:p w14:paraId="59410722">
            <w:pPr>
              <w:pageBreakBefore w:val="0"/>
              <w:kinsoku/>
              <w:topLinePunct w:val="0"/>
              <w:autoSpaceDE/>
              <w:autoSpaceDN/>
              <w:bidi w:val="0"/>
              <w:spacing w:after="0" w:line="360" w:lineRule="auto"/>
              <w:jc w:val="center"/>
              <w:rPr>
                <w:rFonts w:ascii="宋体" w:hAnsi="宋体" w:eastAsia="宋体" w:cs="宋体"/>
                <w:color w:val="auto"/>
                <w:highlight w:val="none"/>
              </w:rPr>
            </w:pPr>
          </w:p>
        </w:tc>
      </w:tr>
    </w:tbl>
    <w:p w14:paraId="75FA64A0">
      <w:pPr>
        <w:pageBreakBefore w:val="0"/>
        <w:kinsoku/>
        <w:topLinePunct w:val="0"/>
        <w:autoSpaceDE/>
        <w:autoSpaceDN/>
        <w:bidi w:val="0"/>
        <w:spacing w:line="360" w:lineRule="auto"/>
        <w:rPr>
          <w:rFonts w:ascii="宋体" w:hAnsi="宋体" w:eastAsia="宋体"/>
          <w:color w:val="auto"/>
          <w:sz w:val="21"/>
          <w:szCs w:val="21"/>
          <w:highlight w:val="none"/>
        </w:rPr>
      </w:pPr>
    </w:p>
    <w:p w14:paraId="19B59714">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77F68B70">
      <w:pPr>
        <w:pageBreakBefore w:val="0"/>
        <w:numPr>
          <w:ilvl w:val="0"/>
          <w:numId w:val="7"/>
        </w:numPr>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14:paraId="5F339F56">
      <w:pPr>
        <w:pStyle w:val="7"/>
        <w:pageBreakBefore w:val="0"/>
        <w:kinsoku/>
        <w:topLinePunct w:val="0"/>
        <w:autoSpaceDE/>
        <w:autoSpaceDN/>
        <w:bidi w:val="0"/>
        <w:spacing w:before="0" w:line="360" w:lineRule="auto"/>
        <w:ind w:left="0"/>
        <w:rPr>
          <w:color w:val="auto"/>
          <w:highlight w:val="none"/>
        </w:rPr>
      </w:pPr>
    </w:p>
    <w:p w14:paraId="0B51193F">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596AB27D">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0F5C23F4">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67379D44">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424D9A55">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p>
    <w:p w14:paraId="4E0491E8">
      <w:pPr>
        <w:pageBreakBefore w:val="0"/>
        <w:kinsoku/>
        <w:topLinePunct w:val="0"/>
        <w:autoSpaceDE/>
        <w:autoSpaceDN/>
        <w:bidi w:val="0"/>
        <w:adjustRightInd/>
        <w:snapToGrid/>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14:paraId="782DEFFD">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2" w:name="_Toc1045"/>
      <w:r>
        <w:rPr>
          <w:rFonts w:hint="eastAsia" w:ascii="宋体" w:hAnsi="宋体" w:eastAsia="宋体"/>
          <w:color w:val="auto"/>
          <w:sz w:val="21"/>
          <w:szCs w:val="21"/>
          <w:highlight w:val="none"/>
        </w:rPr>
        <w:t>附件2.投标书格式</w:t>
      </w:r>
      <w:bookmarkEnd w:id="92"/>
    </w:p>
    <w:p w14:paraId="467EC0AF">
      <w:pPr>
        <w:jc w:val="center"/>
        <w:rPr>
          <w:rFonts w:ascii="宋体" w:hAnsi="宋体" w:eastAsia="宋体"/>
          <w:color w:val="auto"/>
          <w:sz w:val="21"/>
          <w:szCs w:val="21"/>
          <w:highlight w:val="none"/>
        </w:rPr>
      </w:pPr>
      <w:bookmarkStart w:id="93" w:name="_Toc11248"/>
      <w:r>
        <w:rPr>
          <w:rFonts w:hint="eastAsia" w:ascii="黑体" w:eastAsia="黑体"/>
          <w:color w:val="auto"/>
          <w:sz w:val="32"/>
          <w:szCs w:val="32"/>
          <w:highlight w:val="none"/>
        </w:rPr>
        <w:t>投标书</w:t>
      </w:r>
    </w:p>
    <w:p w14:paraId="6C09D6F5">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致：三方诚信招标有限公司东莞分公司：</w:t>
      </w:r>
    </w:p>
    <w:p w14:paraId="1E2B9004">
      <w:pPr>
        <w:spacing w:after="0" w:line="360" w:lineRule="auto"/>
        <w:rPr>
          <w:rFonts w:ascii="宋体" w:hAnsi="宋体" w:eastAsia="宋体"/>
          <w:color w:val="auto"/>
          <w:sz w:val="21"/>
          <w:szCs w:val="21"/>
          <w:highlight w:val="none"/>
        </w:rPr>
      </w:pPr>
    </w:p>
    <w:p w14:paraId="27B231A2">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14:paraId="0BAD6B18">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14:paraId="33A1CD02">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14:paraId="28078E64">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14:paraId="10B5B6F7">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14:paraId="708A30FF">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14:paraId="314EE6C5">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14:paraId="3A2DE938">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14:paraId="4534C174">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14:paraId="430B19A5">
      <w:pPr>
        <w:widowControl w:val="0"/>
        <w:numPr>
          <w:ilvl w:val="0"/>
          <w:numId w:val="8"/>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14:paraId="671A5026">
      <w:pPr>
        <w:spacing w:after="0" w:line="360" w:lineRule="auto"/>
        <w:rPr>
          <w:rFonts w:ascii="宋体" w:hAnsi="宋体" w:eastAsia="宋体"/>
          <w:color w:val="auto"/>
          <w:sz w:val="21"/>
          <w:szCs w:val="21"/>
          <w:highlight w:val="none"/>
        </w:rPr>
      </w:pPr>
    </w:p>
    <w:p w14:paraId="40FA75D3">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14:paraId="71FBE7EF">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14:paraId="26E91406">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14:paraId="64B03004">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投标人名称全称（</w:t>
      </w:r>
      <w:r>
        <w:rPr>
          <w:rFonts w:hint="eastAsia" w:ascii="宋体" w:hAnsi="宋体" w:eastAsia="宋体"/>
          <w:color w:val="auto"/>
          <w:sz w:val="21"/>
          <w:szCs w:val="21"/>
          <w:highlight w:val="none"/>
          <w:lang w:eastAsia="zh-CN"/>
        </w:rPr>
        <w:t>加</w:t>
      </w:r>
      <w:r>
        <w:rPr>
          <w:rFonts w:hint="eastAsia" w:ascii="宋体" w:hAnsi="宋体" w:eastAsia="宋体"/>
          <w:color w:val="auto"/>
          <w:sz w:val="21"/>
          <w:szCs w:val="21"/>
          <w:highlight w:val="none"/>
        </w:rPr>
        <w:t>盖</w:t>
      </w:r>
      <w:r>
        <w:rPr>
          <w:rFonts w:hint="eastAsia" w:ascii="宋体" w:hAnsi="宋体" w:eastAsia="宋体"/>
          <w:color w:val="auto"/>
          <w:sz w:val="21"/>
          <w:szCs w:val="21"/>
          <w:highlight w:val="none"/>
          <w:lang w:eastAsia="zh-CN"/>
        </w:rPr>
        <w:t>公</w:t>
      </w:r>
      <w:r>
        <w:rPr>
          <w:rFonts w:hint="eastAsia" w:ascii="宋体" w:hAnsi="宋体" w:eastAsia="宋体"/>
          <w:color w:val="auto"/>
          <w:sz w:val="21"/>
          <w:szCs w:val="21"/>
          <w:highlight w:val="none"/>
        </w:rPr>
        <w:t xml:space="preserve">章）：  </w:t>
      </w:r>
    </w:p>
    <w:p w14:paraId="6C4E8DDF">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14:paraId="7AE1D10C">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p>
    <w:p w14:paraId="71EE3CC1">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14:paraId="5435D476">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附件3.开标一览表格式</w:t>
      </w:r>
      <w:bookmarkEnd w:id="93"/>
    </w:p>
    <w:p w14:paraId="2B6C9272">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6BC17A5D">
      <w:pPr>
        <w:pageBreakBefore w:val="0"/>
        <w:kinsoku/>
        <w:topLinePunct w:val="0"/>
        <w:autoSpaceDE/>
        <w:autoSpaceDN/>
        <w:bidi w:val="0"/>
        <w:spacing w:line="360" w:lineRule="auto"/>
        <w:rPr>
          <w:color w:val="auto"/>
          <w:highlight w:val="none"/>
        </w:rPr>
      </w:pPr>
    </w:p>
    <w:p w14:paraId="23A23BDC">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14:paraId="4959C925">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901"/>
        <w:gridCol w:w="3067"/>
      </w:tblGrid>
      <w:tr w14:paraId="2A4C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14:paraId="4AA24EFE">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2" w:type="pct"/>
            <w:vAlign w:val="center"/>
          </w:tcPr>
          <w:p w14:paraId="0C34AF9D">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1799" w:type="pct"/>
            <w:vAlign w:val="center"/>
          </w:tcPr>
          <w:p w14:paraId="59FAF98D">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56CC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14:paraId="22B11BC0">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olor w:val="auto"/>
                <w:sz w:val="21"/>
                <w:szCs w:val="21"/>
                <w:highlight w:val="none"/>
              </w:rPr>
            </w:pPr>
          </w:p>
        </w:tc>
        <w:tc>
          <w:tcPr>
            <w:tcW w:w="1702" w:type="pct"/>
            <w:vAlign w:val="center"/>
          </w:tcPr>
          <w:p w14:paraId="543376D9">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小写：</w:t>
            </w:r>
          </w:p>
        </w:tc>
        <w:tc>
          <w:tcPr>
            <w:tcW w:w="1799" w:type="pct"/>
            <w:vMerge w:val="restart"/>
          </w:tcPr>
          <w:p w14:paraId="0A59E0E8">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olor w:val="auto"/>
                <w:sz w:val="21"/>
                <w:szCs w:val="21"/>
                <w:highlight w:val="none"/>
              </w:rPr>
            </w:pPr>
          </w:p>
        </w:tc>
      </w:tr>
      <w:tr w14:paraId="7729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14:paraId="7EAA7C9B">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both"/>
              <w:textAlignment w:val="auto"/>
              <w:rPr>
                <w:color w:val="auto"/>
                <w:highlight w:val="none"/>
              </w:rPr>
            </w:pPr>
          </w:p>
        </w:tc>
        <w:tc>
          <w:tcPr>
            <w:tcW w:w="1702" w:type="pct"/>
            <w:vAlign w:val="center"/>
          </w:tcPr>
          <w:p w14:paraId="7D2C4AAB">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大写：</w:t>
            </w:r>
          </w:p>
        </w:tc>
        <w:tc>
          <w:tcPr>
            <w:tcW w:w="1799" w:type="pct"/>
            <w:vMerge w:val="continue"/>
          </w:tcPr>
          <w:p w14:paraId="724F7200">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360" w:lineRule="auto"/>
              <w:ind w:left="0"/>
              <w:jc w:val="both"/>
              <w:textAlignment w:val="auto"/>
              <w:rPr>
                <w:rFonts w:hint="eastAsia" w:ascii="宋体" w:hAnsi="宋体" w:eastAsia="宋体"/>
                <w:color w:val="auto"/>
                <w:sz w:val="21"/>
                <w:szCs w:val="21"/>
                <w:highlight w:val="none"/>
                <w:lang w:eastAsia="zh-CN"/>
              </w:rPr>
            </w:pPr>
          </w:p>
        </w:tc>
      </w:tr>
    </w:tbl>
    <w:p w14:paraId="3D906714">
      <w:pPr>
        <w:pageBreakBefore w:val="0"/>
        <w:kinsoku/>
        <w:topLinePunct w:val="0"/>
        <w:autoSpaceDE/>
        <w:autoSpaceDN/>
        <w:bidi w:val="0"/>
        <w:spacing w:after="0" w:line="360" w:lineRule="auto"/>
        <w:rPr>
          <w:rFonts w:ascii="宋体" w:hAnsi="宋体" w:eastAsia="宋体"/>
          <w:color w:val="auto"/>
          <w:sz w:val="21"/>
          <w:szCs w:val="21"/>
          <w:highlight w:val="none"/>
        </w:rPr>
      </w:pPr>
    </w:p>
    <w:p w14:paraId="5F396B5B">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382C669">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14:paraId="2B22C45E">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18E4757E">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14:paraId="0BB9A81A">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5FC421BF">
      <w:pPr>
        <w:pageBreakBefore w:val="0"/>
        <w:kinsoku/>
        <w:topLinePunct w:val="0"/>
        <w:autoSpaceDE/>
        <w:autoSpaceDN/>
        <w:bidi w:val="0"/>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14:paraId="339A930C">
      <w:pPr>
        <w:pageBreakBefore w:val="0"/>
        <w:kinsoku/>
        <w:topLinePunct w:val="0"/>
        <w:autoSpaceDE/>
        <w:autoSpaceDN/>
        <w:bidi w:val="0"/>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2、此表应按投标人须知的规定密封标记并与法人代表证明书、法定代表人授权书（法人投标无需提交授权书）</w:t>
      </w:r>
      <w:r>
        <w:rPr>
          <w:rFonts w:hint="eastAsia" w:ascii="宋体" w:hAnsi="宋体" w:eastAsia="宋体"/>
          <w:color w:val="auto"/>
          <w:sz w:val="21"/>
          <w:szCs w:val="21"/>
          <w:highlight w:val="none"/>
          <w:lang w:eastAsia="zh-CN"/>
        </w:rPr>
        <w:t>一同密封提交。还须包括并不限于：投标保证金支付凭证银行汇款底单和投标保证金汇入情况说明。</w:t>
      </w:r>
    </w:p>
    <w:p w14:paraId="75B31D97">
      <w:pPr>
        <w:pageBreakBefore w:val="0"/>
        <w:kinsoku/>
        <w:topLinePunct w:val="0"/>
        <w:autoSpaceDE/>
        <w:autoSpaceDN/>
        <w:bidi w:val="0"/>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14:paraId="1FD9816A">
      <w:pPr>
        <w:pageBreakBefore w:val="0"/>
        <w:kinsoku/>
        <w:topLinePunct w:val="0"/>
        <w:autoSpaceDE/>
        <w:autoSpaceDN/>
        <w:bidi w:val="0"/>
        <w:adjustRightInd/>
        <w:snapToGrid/>
        <w:spacing w:line="360" w:lineRule="auto"/>
        <w:rPr>
          <w:color w:val="auto"/>
          <w:highlight w:val="none"/>
        </w:rPr>
      </w:pPr>
    </w:p>
    <w:p w14:paraId="516887BB">
      <w:pPr>
        <w:pageBreakBefore w:val="0"/>
        <w:kinsoku/>
        <w:topLinePunct w:val="0"/>
        <w:autoSpaceDE/>
        <w:autoSpaceDN/>
        <w:bidi w:val="0"/>
        <w:adjustRightInd/>
        <w:snapToGrid/>
        <w:spacing w:line="360" w:lineRule="auto"/>
        <w:rPr>
          <w:color w:val="auto"/>
          <w:highlight w:val="none"/>
        </w:rPr>
      </w:pPr>
      <w:r>
        <w:rPr>
          <w:color w:val="auto"/>
          <w:highlight w:val="none"/>
        </w:rPr>
        <w:br w:type="page"/>
      </w:r>
    </w:p>
    <w:p w14:paraId="2969401C">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4" w:name="_Toc15530"/>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14:paraId="04A96EE5">
      <w:pPr>
        <w:pageBreakBefore w:val="0"/>
        <w:kinsoku/>
        <w:topLinePunct w:val="0"/>
        <w:autoSpaceDE/>
        <w:autoSpaceDN/>
        <w:bidi w:val="0"/>
        <w:spacing w:line="360" w:lineRule="auto"/>
        <w:jc w:val="center"/>
        <w:rPr>
          <w:rFonts w:ascii="黑体" w:eastAsia="黑体"/>
          <w:color w:val="auto"/>
          <w:sz w:val="32"/>
          <w:szCs w:val="32"/>
          <w:highlight w:val="none"/>
        </w:rPr>
      </w:pPr>
    </w:p>
    <w:p w14:paraId="3D99AEE9">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75"/>
        <w:gridCol w:w="1916"/>
        <w:gridCol w:w="1050"/>
        <w:gridCol w:w="1103"/>
        <w:gridCol w:w="1183"/>
        <w:gridCol w:w="1079"/>
      </w:tblGrid>
      <w:tr w14:paraId="234B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14:paraId="4846C33C">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07" w:type="pct"/>
            <w:vAlign w:val="center"/>
          </w:tcPr>
          <w:p w14:paraId="15346D23">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分项</w:t>
            </w:r>
            <w:r>
              <w:rPr>
                <w:rFonts w:hint="eastAsia" w:ascii="宋体" w:hAnsi="宋体" w:eastAsia="宋体"/>
                <w:color w:val="auto"/>
                <w:sz w:val="21"/>
                <w:szCs w:val="21"/>
                <w:highlight w:val="none"/>
              </w:rPr>
              <w:t>名称</w:t>
            </w:r>
          </w:p>
        </w:tc>
        <w:tc>
          <w:tcPr>
            <w:tcW w:w="1124" w:type="pct"/>
            <w:vAlign w:val="center"/>
          </w:tcPr>
          <w:p w14:paraId="1BD7BC9F">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分项内容</w:t>
            </w:r>
          </w:p>
        </w:tc>
        <w:tc>
          <w:tcPr>
            <w:tcW w:w="616" w:type="pct"/>
            <w:vAlign w:val="center"/>
          </w:tcPr>
          <w:p w14:paraId="231016B2">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645" w:type="pct"/>
            <w:vAlign w:val="center"/>
          </w:tcPr>
          <w:p w14:paraId="42BA0381">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694" w:type="pct"/>
            <w:vAlign w:val="center"/>
          </w:tcPr>
          <w:p w14:paraId="4E3B165C">
            <w:pPr>
              <w:pageBreakBefore w:val="0"/>
              <w:kinsoku/>
              <w:topLinePunct w:val="0"/>
              <w:autoSpaceDE/>
              <w:autoSpaceDN/>
              <w:bidi w:val="0"/>
              <w:spacing w:before="100" w:beforeAutospacing="1" w:after="100" w:afterAutospacing="1"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总价</w:t>
            </w:r>
          </w:p>
        </w:tc>
        <w:tc>
          <w:tcPr>
            <w:tcW w:w="632" w:type="pct"/>
            <w:vAlign w:val="center"/>
          </w:tcPr>
          <w:p w14:paraId="49B1742B">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61E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14:paraId="6B3E5EBB">
            <w:pPr>
              <w:pageBreakBefore w:val="0"/>
              <w:widowControl w:val="0"/>
              <w:kinsoku/>
              <w:topLinePunct w:val="0"/>
              <w:autoSpaceDE/>
              <w:autoSpaceDN/>
              <w:bidi w:val="0"/>
              <w:adjustRightInd/>
              <w:snapToGrid/>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807" w:type="pct"/>
            <w:vAlign w:val="center"/>
          </w:tcPr>
          <w:p w14:paraId="5C73E9F6">
            <w:pPr>
              <w:pageBreakBefore w:val="0"/>
              <w:kinsoku/>
              <w:topLinePunct w:val="0"/>
              <w:autoSpaceDE/>
              <w:autoSpaceDN/>
              <w:bidi w:val="0"/>
              <w:spacing w:before="100" w:beforeAutospacing="1" w:after="100" w:afterAutospacing="1" w:line="360" w:lineRule="auto"/>
              <w:rPr>
                <w:rFonts w:ascii="宋体" w:hAnsi="宋体" w:eastAsia="宋体"/>
                <w:color w:val="auto"/>
                <w:sz w:val="21"/>
                <w:szCs w:val="21"/>
                <w:highlight w:val="none"/>
              </w:rPr>
            </w:pPr>
          </w:p>
        </w:tc>
        <w:tc>
          <w:tcPr>
            <w:tcW w:w="1124" w:type="pct"/>
            <w:vAlign w:val="center"/>
          </w:tcPr>
          <w:p w14:paraId="439E2D18">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16" w:type="pct"/>
            <w:vAlign w:val="center"/>
          </w:tcPr>
          <w:p w14:paraId="49AA3A02">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45" w:type="pct"/>
            <w:vAlign w:val="center"/>
          </w:tcPr>
          <w:p w14:paraId="02F46F63">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94" w:type="pct"/>
            <w:vAlign w:val="center"/>
          </w:tcPr>
          <w:p w14:paraId="617486BD">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32" w:type="pct"/>
            <w:vAlign w:val="center"/>
          </w:tcPr>
          <w:p w14:paraId="7637EEBE">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r>
      <w:tr w14:paraId="69B8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14:paraId="3518F5C6">
            <w:pPr>
              <w:pageBreakBefore w:val="0"/>
              <w:widowControl w:val="0"/>
              <w:kinsoku/>
              <w:topLinePunct w:val="0"/>
              <w:autoSpaceDE/>
              <w:autoSpaceDN/>
              <w:bidi w:val="0"/>
              <w:adjustRightInd/>
              <w:snapToGrid/>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807" w:type="pct"/>
            <w:vAlign w:val="center"/>
          </w:tcPr>
          <w:p w14:paraId="56E27234">
            <w:pPr>
              <w:pageBreakBefore w:val="0"/>
              <w:kinsoku/>
              <w:topLinePunct w:val="0"/>
              <w:autoSpaceDE/>
              <w:autoSpaceDN/>
              <w:bidi w:val="0"/>
              <w:spacing w:before="100" w:beforeAutospacing="1" w:after="100" w:afterAutospacing="1" w:line="360" w:lineRule="auto"/>
              <w:rPr>
                <w:rFonts w:ascii="宋体" w:hAnsi="宋体" w:eastAsia="宋体"/>
                <w:color w:val="auto"/>
                <w:sz w:val="21"/>
                <w:szCs w:val="21"/>
                <w:highlight w:val="none"/>
              </w:rPr>
            </w:pPr>
          </w:p>
        </w:tc>
        <w:tc>
          <w:tcPr>
            <w:tcW w:w="1124" w:type="pct"/>
            <w:vAlign w:val="center"/>
          </w:tcPr>
          <w:p w14:paraId="13DD9055">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16" w:type="pct"/>
            <w:vAlign w:val="center"/>
          </w:tcPr>
          <w:p w14:paraId="636E31EF">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45" w:type="pct"/>
            <w:vAlign w:val="center"/>
          </w:tcPr>
          <w:p w14:paraId="1B6FC77C">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94" w:type="pct"/>
            <w:vAlign w:val="center"/>
          </w:tcPr>
          <w:p w14:paraId="508BEBBE">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32" w:type="pct"/>
            <w:vAlign w:val="center"/>
          </w:tcPr>
          <w:p w14:paraId="62A2650F">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r>
      <w:tr w14:paraId="473A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14:paraId="10AD9ED1">
            <w:pPr>
              <w:pageBreakBefore w:val="0"/>
              <w:widowControl w:val="0"/>
              <w:kinsoku/>
              <w:topLinePunct w:val="0"/>
              <w:autoSpaceDE/>
              <w:autoSpaceDN/>
              <w:bidi w:val="0"/>
              <w:adjustRightInd/>
              <w:snapToGrid/>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807" w:type="pct"/>
            <w:vAlign w:val="center"/>
          </w:tcPr>
          <w:p w14:paraId="30F3DA74">
            <w:pPr>
              <w:pageBreakBefore w:val="0"/>
              <w:kinsoku/>
              <w:topLinePunct w:val="0"/>
              <w:autoSpaceDE/>
              <w:autoSpaceDN/>
              <w:bidi w:val="0"/>
              <w:spacing w:before="100" w:beforeAutospacing="1" w:after="100" w:afterAutospacing="1" w:line="360" w:lineRule="auto"/>
              <w:rPr>
                <w:rFonts w:ascii="宋体" w:hAnsi="宋体" w:eastAsia="宋体"/>
                <w:color w:val="auto"/>
                <w:sz w:val="21"/>
                <w:szCs w:val="21"/>
                <w:highlight w:val="none"/>
              </w:rPr>
            </w:pPr>
          </w:p>
        </w:tc>
        <w:tc>
          <w:tcPr>
            <w:tcW w:w="1124" w:type="pct"/>
            <w:vAlign w:val="center"/>
          </w:tcPr>
          <w:p w14:paraId="44437AB6">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16" w:type="pct"/>
            <w:vAlign w:val="center"/>
          </w:tcPr>
          <w:p w14:paraId="0E0607C1">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45" w:type="pct"/>
            <w:vAlign w:val="center"/>
          </w:tcPr>
          <w:p w14:paraId="5174A756">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94" w:type="pct"/>
            <w:vAlign w:val="center"/>
          </w:tcPr>
          <w:p w14:paraId="56656C54">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c>
          <w:tcPr>
            <w:tcW w:w="632" w:type="pct"/>
            <w:vAlign w:val="center"/>
          </w:tcPr>
          <w:p w14:paraId="2B1CE19B">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r>
      <w:tr w14:paraId="2CD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73" w:type="pct"/>
            <w:gridSpan w:val="5"/>
            <w:vAlign w:val="center"/>
          </w:tcPr>
          <w:p w14:paraId="32A51253">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1326" w:type="pct"/>
            <w:gridSpan w:val="2"/>
            <w:vAlign w:val="center"/>
          </w:tcPr>
          <w:p w14:paraId="51854C9F">
            <w:pPr>
              <w:pageBreakBefore w:val="0"/>
              <w:kinsoku/>
              <w:topLinePunct w:val="0"/>
              <w:autoSpaceDE/>
              <w:autoSpaceDN/>
              <w:bidi w:val="0"/>
              <w:spacing w:before="100" w:beforeAutospacing="1" w:after="100" w:afterAutospacing="1" w:line="360" w:lineRule="auto"/>
              <w:jc w:val="center"/>
              <w:rPr>
                <w:rFonts w:ascii="宋体" w:hAnsi="宋体" w:eastAsia="宋体"/>
                <w:color w:val="auto"/>
                <w:sz w:val="21"/>
                <w:szCs w:val="21"/>
                <w:highlight w:val="none"/>
              </w:rPr>
            </w:pPr>
          </w:p>
        </w:tc>
      </w:tr>
      <w:tr w14:paraId="1CC7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000" w:type="pct"/>
            <w:gridSpan w:val="7"/>
            <w:vAlign w:val="center"/>
          </w:tcPr>
          <w:p w14:paraId="4B5FF0E8">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14:paraId="1C2D692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43D76FC3">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14:paraId="6F49EFEB">
      <w:pPr>
        <w:pageBreakBefore w:val="0"/>
        <w:kinsoku/>
        <w:topLinePunct w:val="0"/>
        <w:autoSpaceDE/>
        <w:autoSpaceDN/>
        <w:bidi w:val="0"/>
        <w:spacing w:line="360" w:lineRule="auto"/>
        <w:rPr>
          <w:rFonts w:ascii="宋体" w:hAnsi="宋体" w:eastAsia="宋体" w:cs="宋体"/>
          <w:b/>
          <w:color w:val="auto"/>
          <w:sz w:val="21"/>
          <w:szCs w:val="21"/>
          <w:highlight w:val="none"/>
        </w:rPr>
      </w:pPr>
    </w:p>
    <w:p w14:paraId="43B86386">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14:paraId="17D488BC">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5" w:name="_Toc13261"/>
      <w:r>
        <w:rPr>
          <w:rFonts w:hint="eastAsia" w:ascii="宋体" w:hAnsi="宋体" w:eastAsia="宋体"/>
          <w:color w:val="auto"/>
          <w:sz w:val="21"/>
          <w:szCs w:val="21"/>
          <w:highlight w:val="none"/>
        </w:rPr>
        <w:t>附件5. 法定代表人证明书格式</w:t>
      </w:r>
      <w:bookmarkEnd w:id="95"/>
    </w:p>
    <w:p w14:paraId="79B57C26">
      <w:pPr>
        <w:pageBreakBefore w:val="0"/>
        <w:kinsoku/>
        <w:topLinePunct w:val="0"/>
        <w:autoSpaceDE/>
        <w:autoSpaceDN/>
        <w:bidi w:val="0"/>
        <w:spacing w:line="360" w:lineRule="auto"/>
        <w:rPr>
          <w:color w:val="auto"/>
          <w:highlight w:val="none"/>
        </w:rPr>
      </w:pPr>
    </w:p>
    <w:p w14:paraId="3012CB0D">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5943FC7D">
      <w:pPr>
        <w:pStyle w:val="29"/>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14:paraId="28DF8312">
      <w:pPr>
        <w:pStyle w:val="29"/>
        <w:spacing w:line="420" w:lineRule="atLeast"/>
        <w:ind w:firstLine="433"/>
        <w:rPr>
          <w:rFonts w:ascii="宋体" w:eastAsia="宋体"/>
          <w:color w:val="auto"/>
          <w:sz w:val="21"/>
          <w:szCs w:val="21"/>
          <w:highlight w:val="none"/>
        </w:rPr>
      </w:pPr>
    </w:p>
    <w:p w14:paraId="6A1E4FB1">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04F05168">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7F90A7DA">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5F6C7101">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14:paraId="44250A52">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14:paraId="504C0521">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14:paraId="377F2846">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14:paraId="39B03B65">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14:paraId="15C72983">
      <w:pPr>
        <w:pStyle w:val="29"/>
        <w:spacing w:line="500" w:lineRule="atLeast"/>
        <w:ind w:firstLine="3517" w:firstLineChars="1675"/>
        <w:rPr>
          <w:rFonts w:ascii="宋体" w:eastAsia="宋体"/>
          <w:color w:val="auto"/>
          <w:sz w:val="21"/>
          <w:szCs w:val="21"/>
          <w:highlight w:val="none"/>
        </w:rPr>
      </w:pPr>
    </w:p>
    <w:p w14:paraId="5637A902">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14:paraId="7FC2353B">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14:paraId="4AE3408C">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1187399C">
      <w:pPr>
        <w:pStyle w:val="29"/>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14:paraId="4D9FCB3C">
      <w:pPr>
        <w:pStyle w:val="29"/>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14:paraId="3963251B">
      <w:pPr>
        <w:ind w:firstLine="420" w:firstLineChars="200"/>
        <w:rPr>
          <w:rFonts w:ascii="宋体" w:hAnsi="宋体" w:eastAsia="宋体"/>
          <w:color w:val="auto"/>
          <w:sz w:val="21"/>
          <w:szCs w:val="21"/>
          <w:highlight w:val="none"/>
        </w:rPr>
      </w:pPr>
    </w:p>
    <w:p w14:paraId="29BE2012">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4B36D2C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3F7D36D5">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72892091">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0015063E">
      <w:pPr>
        <w:pageBreakBefore w:val="0"/>
        <w:kinsoku/>
        <w:topLinePunct w:val="0"/>
        <w:autoSpaceDE/>
        <w:autoSpaceDN/>
        <w:bidi w:val="0"/>
        <w:spacing w:line="360" w:lineRule="auto"/>
        <w:rPr>
          <w:color w:val="auto"/>
          <w:highlight w:val="none"/>
        </w:rPr>
      </w:pPr>
    </w:p>
    <w:p w14:paraId="7FE6D958">
      <w:pPr>
        <w:pageBreakBefore w:val="0"/>
        <w:kinsoku/>
        <w:topLinePunct w:val="0"/>
        <w:autoSpaceDE/>
        <w:autoSpaceDN/>
        <w:bidi w:val="0"/>
        <w:adjustRightInd/>
        <w:snapToGrid/>
        <w:spacing w:line="360"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1CC1C7E6">
      <w:pPr>
        <w:pStyle w:val="5"/>
        <w:pageBreakBefore w:val="0"/>
        <w:widowControl w:val="0"/>
        <w:kinsoku/>
        <w:overflowPunct w:val="0"/>
        <w:topLinePunct w:val="0"/>
        <w:autoSpaceDE/>
        <w:autoSpaceDN/>
        <w:bidi w:val="0"/>
        <w:spacing w:before="0" w:after="0" w:line="360" w:lineRule="auto"/>
        <w:rPr>
          <w:color w:val="auto"/>
          <w:highlight w:val="none"/>
        </w:rPr>
      </w:pPr>
      <w:bookmarkStart w:id="96" w:name="_Toc19428"/>
      <w:r>
        <w:rPr>
          <w:rFonts w:hint="eastAsia" w:ascii="宋体" w:hAnsi="宋体" w:eastAsia="宋体"/>
          <w:color w:val="auto"/>
          <w:sz w:val="21"/>
          <w:szCs w:val="21"/>
          <w:highlight w:val="none"/>
        </w:rPr>
        <w:t>附件6.法定代表人授权书格式</w:t>
      </w:r>
      <w:bookmarkEnd w:id="96"/>
    </w:p>
    <w:p w14:paraId="6FD04093">
      <w:pPr>
        <w:pageBreakBefore w:val="0"/>
        <w:kinsoku/>
        <w:topLinePunct w:val="0"/>
        <w:autoSpaceDE/>
        <w:autoSpaceDN/>
        <w:bidi w:val="0"/>
        <w:spacing w:line="360" w:lineRule="auto"/>
        <w:rPr>
          <w:color w:val="auto"/>
          <w:highlight w:val="none"/>
        </w:rPr>
      </w:pPr>
    </w:p>
    <w:p w14:paraId="2BB6BFBB">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7A78D44F">
      <w:pPr>
        <w:pStyle w:val="29"/>
        <w:pageBreakBefore w:val="0"/>
        <w:kinsoku/>
        <w:topLinePunct w:val="0"/>
        <w:autoSpaceDE/>
        <w:autoSpaceDN/>
        <w:bidi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14:paraId="3B732967">
      <w:pPr>
        <w:pStyle w:val="29"/>
        <w:pageBreakBefore w:val="0"/>
        <w:kinsoku/>
        <w:topLinePunct w:val="0"/>
        <w:autoSpaceDE/>
        <w:autoSpaceDN/>
        <w:bidi w:val="0"/>
        <w:spacing w:line="360" w:lineRule="auto"/>
        <w:ind w:firstLine="433"/>
        <w:rPr>
          <w:rFonts w:ascii="宋体" w:eastAsia="宋体"/>
          <w:color w:val="auto"/>
          <w:sz w:val="21"/>
          <w:szCs w:val="21"/>
          <w:highlight w:val="none"/>
        </w:rPr>
      </w:pPr>
    </w:p>
    <w:p w14:paraId="61CD3B6D">
      <w:pPr>
        <w:pageBreakBefore w:val="0"/>
        <w:kinsoku/>
        <w:topLinePunct w:val="0"/>
        <w:autoSpaceDE/>
        <w:autoSpaceDN/>
        <w:bidi w:val="0"/>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14:paraId="34F63267">
      <w:pPr>
        <w:pageBreakBefore w:val="0"/>
        <w:kinsoku/>
        <w:topLinePunct w:val="0"/>
        <w:autoSpaceDE/>
        <w:autoSpaceDN/>
        <w:bidi w:val="0"/>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14:paraId="3506330A">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p>
    <w:p w14:paraId="2193D34E">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14:paraId="227E6D65">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14:paraId="55605D4E">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6F6F5B1B">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14:paraId="2D1D86FB">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6C29134C">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7D8C88DE">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738DC69E">
      <w:pPr>
        <w:pStyle w:val="29"/>
        <w:pageBreakBefore w:val="0"/>
        <w:kinsoku/>
        <w:topLinePunct w:val="0"/>
        <w:autoSpaceDE/>
        <w:autoSpaceDN/>
        <w:bidi w:val="0"/>
        <w:spacing w:line="360" w:lineRule="auto"/>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14:paraId="0ECF0FE8">
      <w:pPr>
        <w:pStyle w:val="29"/>
        <w:pageBreakBefore w:val="0"/>
        <w:kinsoku/>
        <w:topLinePunct w:val="0"/>
        <w:autoSpaceDE/>
        <w:autoSpaceDN/>
        <w:bidi w:val="0"/>
        <w:spacing w:line="360" w:lineRule="auto"/>
        <w:ind w:firstLine="433"/>
        <w:rPr>
          <w:rFonts w:ascii="宋体" w:eastAsia="宋体"/>
          <w:color w:val="auto"/>
          <w:sz w:val="21"/>
          <w:szCs w:val="21"/>
          <w:highlight w:val="none"/>
        </w:rPr>
      </w:pPr>
    </w:p>
    <w:p w14:paraId="5AC2E694">
      <w:pPr>
        <w:pageBreakBefore w:val="0"/>
        <w:kinsoku/>
        <w:topLinePunct w:val="0"/>
        <w:autoSpaceDE/>
        <w:autoSpaceDN/>
        <w:bidi w:val="0"/>
        <w:spacing w:line="360" w:lineRule="auto"/>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3873C20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3657CEDB">
            <w:pPr>
              <w:pStyle w:val="29"/>
              <w:pageBreakBefore w:val="0"/>
              <w:kinsoku/>
              <w:topLinePunct w:val="0"/>
              <w:autoSpaceDE/>
              <w:autoSpaceDN/>
              <w:bidi w:val="0"/>
              <w:spacing w:line="360" w:lineRule="auto"/>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5E08EC6A">
            <w:pPr>
              <w:pStyle w:val="29"/>
              <w:pageBreakBefore w:val="0"/>
              <w:kinsoku/>
              <w:topLinePunct w:val="0"/>
              <w:autoSpaceDE/>
              <w:autoSpaceDN/>
              <w:bidi w:val="0"/>
              <w:spacing w:line="360" w:lineRule="auto"/>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4B936256">
      <w:pPr>
        <w:pageBreakBefore w:val="0"/>
        <w:kinsoku/>
        <w:topLinePunct w:val="0"/>
        <w:autoSpaceDE/>
        <w:autoSpaceDN/>
        <w:bidi w:val="0"/>
        <w:adjustRightInd/>
        <w:snapToGrid/>
        <w:spacing w:line="360" w:lineRule="auto"/>
        <w:rPr>
          <w:color w:val="auto"/>
          <w:highlight w:val="none"/>
        </w:rPr>
      </w:pPr>
      <w:bookmarkStart w:id="97" w:name="_Toc22486"/>
      <w:r>
        <w:rPr>
          <w:rFonts w:hint="eastAsia" w:ascii="宋体" w:hAnsi="宋体" w:eastAsia="宋体"/>
          <w:color w:val="auto"/>
          <w:sz w:val="21"/>
          <w:szCs w:val="21"/>
          <w:highlight w:val="none"/>
        </w:rPr>
        <w:br w:type="page"/>
      </w:r>
    </w:p>
    <w:p w14:paraId="4A55676A">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8" w:name="_Toc24266"/>
      <w:r>
        <w:rPr>
          <w:rFonts w:hint="eastAsia" w:ascii="宋体" w:hAnsi="宋体" w:eastAsia="宋体"/>
          <w:color w:val="auto"/>
          <w:sz w:val="21"/>
          <w:szCs w:val="21"/>
          <w:highlight w:val="none"/>
        </w:rPr>
        <w:t>附件7.资格申明</w:t>
      </w:r>
      <w:bookmarkEnd w:id="98"/>
    </w:p>
    <w:p w14:paraId="7B8B3873">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54C7E661">
      <w:pPr>
        <w:pStyle w:val="29"/>
        <w:pageBreakBefore w:val="0"/>
        <w:kinsoku/>
        <w:topLinePunct w:val="0"/>
        <w:autoSpaceDE/>
        <w:autoSpaceDN/>
        <w:bidi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三方诚信招标有限公司东莞分公司：</w:t>
      </w:r>
    </w:p>
    <w:p w14:paraId="77104979">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p>
    <w:p w14:paraId="7325FECC">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14:paraId="317C5A08">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14:paraId="4733234B">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14:paraId="67C38B13">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p>
    <w:p w14:paraId="6521C46C">
      <w:pPr>
        <w:pStyle w:val="29"/>
        <w:pageBreakBefore w:val="0"/>
        <w:kinsoku/>
        <w:topLinePunct w:val="0"/>
        <w:autoSpaceDE/>
        <w:autoSpaceDN/>
        <w:bidi w:val="0"/>
        <w:spacing w:line="360" w:lineRule="auto"/>
        <w:ind w:firstLine="3517" w:firstLineChars="1675"/>
        <w:rPr>
          <w:rFonts w:ascii="宋体" w:eastAsia="宋体"/>
          <w:color w:val="auto"/>
          <w:sz w:val="21"/>
          <w:szCs w:val="21"/>
          <w:highlight w:val="none"/>
        </w:rPr>
      </w:pPr>
    </w:p>
    <w:p w14:paraId="116AAB38">
      <w:pPr>
        <w:pStyle w:val="29"/>
        <w:pageBreakBefore w:val="0"/>
        <w:kinsoku/>
        <w:topLinePunct w:val="0"/>
        <w:autoSpaceDE/>
        <w:autoSpaceDN/>
        <w:bidi w:val="0"/>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14:paraId="03643DB4">
      <w:pPr>
        <w:pStyle w:val="29"/>
        <w:pageBreakBefore w:val="0"/>
        <w:kinsoku/>
        <w:topLinePunct w:val="0"/>
        <w:autoSpaceDE/>
        <w:autoSpaceDN/>
        <w:bidi w:val="0"/>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14:paraId="06C9D5E7">
      <w:pPr>
        <w:pStyle w:val="29"/>
        <w:pageBreakBefore w:val="0"/>
        <w:kinsoku/>
        <w:topLinePunct w:val="0"/>
        <w:autoSpaceDE/>
        <w:autoSpaceDN/>
        <w:bidi w:val="0"/>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14:paraId="3D60734E">
      <w:pPr>
        <w:pStyle w:val="29"/>
        <w:pageBreakBefore w:val="0"/>
        <w:kinsoku/>
        <w:topLinePunct w:val="0"/>
        <w:autoSpaceDE/>
        <w:autoSpaceDN/>
        <w:bidi w:val="0"/>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0BAD6AD6">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99" w:name="_Toc22915"/>
      <w:r>
        <w:rPr>
          <w:rFonts w:hint="eastAsia" w:ascii="宋体" w:hAnsi="宋体" w:eastAsia="宋体"/>
          <w:color w:val="auto"/>
          <w:sz w:val="21"/>
          <w:szCs w:val="21"/>
          <w:highlight w:val="none"/>
        </w:rPr>
        <w:t>附件8.营业执照</w:t>
      </w:r>
      <w:bookmarkEnd w:id="99"/>
    </w:p>
    <w:p w14:paraId="078E9492">
      <w:pPr>
        <w:pageBreakBefore w:val="0"/>
        <w:kinsoku/>
        <w:topLinePunct w:val="0"/>
        <w:autoSpaceDE/>
        <w:autoSpaceDN/>
        <w:bidi w:val="0"/>
        <w:spacing w:line="360" w:lineRule="auto"/>
        <w:jc w:val="center"/>
        <w:rPr>
          <w:rFonts w:ascii="黑体" w:eastAsia="黑体"/>
          <w:color w:val="auto"/>
          <w:sz w:val="28"/>
          <w:szCs w:val="28"/>
          <w:highlight w:val="none"/>
        </w:rPr>
      </w:pPr>
      <w:bookmarkStart w:id="100" w:name="_Toc24210"/>
      <w:bookmarkStart w:id="101" w:name="_Toc4926"/>
      <w:bookmarkStart w:id="102" w:name="_Toc5919"/>
      <w:bookmarkStart w:id="103" w:name="_Toc1511"/>
      <w:bookmarkStart w:id="104" w:name="_Toc17470"/>
      <w:r>
        <w:rPr>
          <w:rFonts w:hint="eastAsia" w:ascii="黑体" w:eastAsia="黑体"/>
          <w:color w:val="auto"/>
          <w:sz w:val="28"/>
          <w:szCs w:val="28"/>
          <w:highlight w:val="none"/>
        </w:rPr>
        <w:t>营业执照</w:t>
      </w:r>
      <w:bookmarkEnd w:id="100"/>
      <w:bookmarkEnd w:id="101"/>
      <w:bookmarkEnd w:id="102"/>
      <w:bookmarkEnd w:id="103"/>
      <w:bookmarkEnd w:id="104"/>
    </w:p>
    <w:p w14:paraId="6D2776B9">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0B19D2B3">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05" w:name="_Toc16457"/>
      <w:r>
        <w:rPr>
          <w:rFonts w:hint="eastAsia" w:ascii="宋体" w:hAnsi="宋体" w:eastAsia="宋体"/>
          <w:color w:val="auto"/>
          <w:sz w:val="21"/>
          <w:szCs w:val="21"/>
          <w:highlight w:val="none"/>
        </w:rPr>
        <w:t>附件9.相关资质证明文件</w:t>
      </w:r>
      <w:bookmarkEnd w:id="105"/>
    </w:p>
    <w:p w14:paraId="41648BD3">
      <w:pPr>
        <w:pageBreakBefore w:val="0"/>
        <w:kinsoku/>
        <w:topLinePunct w:val="0"/>
        <w:autoSpaceDE/>
        <w:autoSpaceDN/>
        <w:bidi w:val="0"/>
        <w:spacing w:line="360" w:lineRule="auto"/>
        <w:rPr>
          <w:color w:val="auto"/>
          <w:highlight w:val="none"/>
        </w:rPr>
      </w:pPr>
    </w:p>
    <w:p w14:paraId="6D342897">
      <w:pPr>
        <w:pageBreakBefore w:val="0"/>
        <w:kinsoku/>
        <w:topLinePunct w:val="0"/>
        <w:autoSpaceDE/>
        <w:autoSpaceDN/>
        <w:bidi w:val="0"/>
        <w:spacing w:line="360" w:lineRule="auto"/>
        <w:jc w:val="center"/>
        <w:rPr>
          <w:rFonts w:ascii="黑体" w:eastAsia="黑体"/>
          <w:color w:val="auto"/>
          <w:sz w:val="28"/>
          <w:szCs w:val="28"/>
          <w:highlight w:val="none"/>
        </w:rPr>
      </w:pPr>
      <w:bookmarkStart w:id="106" w:name="_Toc13458"/>
      <w:bookmarkStart w:id="107" w:name="_Toc16698"/>
      <w:bookmarkStart w:id="108" w:name="_Toc30307"/>
      <w:bookmarkStart w:id="109" w:name="_Toc9592"/>
      <w:bookmarkStart w:id="110" w:name="_Toc16233"/>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14:paraId="1D40D464">
      <w:pPr>
        <w:pageBreakBefore w:val="0"/>
        <w:kinsoku/>
        <w:topLinePunct w:val="0"/>
        <w:autoSpaceDE/>
        <w:autoSpaceDN/>
        <w:bidi w:val="0"/>
        <w:spacing w:line="360" w:lineRule="auto"/>
        <w:jc w:val="both"/>
        <w:rPr>
          <w:color w:val="auto"/>
          <w:highlight w:val="none"/>
        </w:rPr>
      </w:pPr>
      <w:r>
        <w:rPr>
          <w:rFonts w:hint="eastAsia"/>
          <w:color w:val="auto"/>
          <w:highlight w:val="none"/>
        </w:rPr>
        <w:br w:type="page"/>
      </w:r>
    </w:p>
    <w:p w14:paraId="14FD3A76">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11" w:name="_Toc29591"/>
      <w:r>
        <w:rPr>
          <w:rFonts w:hint="eastAsia" w:ascii="宋体" w:hAnsi="宋体" w:eastAsia="宋体"/>
          <w:color w:val="auto"/>
          <w:sz w:val="21"/>
          <w:szCs w:val="21"/>
          <w:highlight w:val="none"/>
        </w:rPr>
        <w:t>附件10. 商务条款偏离表格式</w:t>
      </w:r>
      <w:bookmarkEnd w:id="111"/>
    </w:p>
    <w:p w14:paraId="5D5699B4">
      <w:pPr>
        <w:pageBreakBefore w:val="0"/>
        <w:kinsoku/>
        <w:topLinePunct w:val="0"/>
        <w:autoSpaceDE/>
        <w:autoSpaceDN/>
        <w:bidi w:val="0"/>
        <w:spacing w:line="360" w:lineRule="auto"/>
        <w:jc w:val="center"/>
        <w:rPr>
          <w:rFonts w:ascii="黑体" w:eastAsia="黑体"/>
          <w:color w:val="auto"/>
          <w:sz w:val="28"/>
          <w:szCs w:val="28"/>
          <w:highlight w:val="none"/>
        </w:rPr>
      </w:pPr>
    </w:p>
    <w:p w14:paraId="59D70026">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619B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2C25BA30">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14:paraId="3CB23768">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商务条款</w:t>
            </w:r>
            <w:r>
              <w:rPr>
                <w:rFonts w:hint="eastAsia" w:ascii="宋体" w:hAnsi="宋体" w:eastAsia="宋体"/>
                <w:color w:val="auto"/>
                <w:sz w:val="21"/>
                <w:szCs w:val="21"/>
                <w:highlight w:val="none"/>
              </w:rPr>
              <w:t>名称</w:t>
            </w:r>
          </w:p>
        </w:tc>
        <w:tc>
          <w:tcPr>
            <w:tcW w:w="1360" w:type="dxa"/>
            <w:vAlign w:val="center"/>
          </w:tcPr>
          <w:p w14:paraId="3936AAE9">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14:paraId="1BC7FD96">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14:paraId="77886AEB">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14:paraId="11AFBD81">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14:paraId="7E6F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2A74B2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2C035B3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32CA84D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0A38B6D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65E8B22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1B4249E1">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05F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D1996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5928CF8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14E744B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60CFA68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2CE613C4">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2D883D74">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62A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169CD5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01798F5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71A6B60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4F32701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11D54C1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21E2211F">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3155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829EB1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4773231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09455DE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1A29D7F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23FBA8F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725C31B6">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79D0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C6FFED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0D0034D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74F5BBC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22F7B2C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016A0E4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0A0E2FBF">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36E5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E67A52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201D019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4FE9FA1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504AA9B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53AC27E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7942FB92">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1E4D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EC9AFB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5016AD6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36A29C3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55F1CB1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4BF3C78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7094809E">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3F4C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5484D7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677BC7B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5D6ADF6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00A7021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7BE94E2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48E20C35">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7D5B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B73D3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4625B8D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7754770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4BABD1B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661FE78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17E2C8BF">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6226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0BDCD1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0" w:type="dxa"/>
            <w:vAlign w:val="center"/>
          </w:tcPr>
          <w:p w14:paraId="0FD3817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360" w:type="dxa"/>
            <w:vAlign w:val="center"/>
          </w:tcPr>
          <w:p w14:paraId="49A9090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87" w:type="dxa"/>
            <w:vAlign w:val="center"/>
          </w:tcPr>
          <w:p w14:paraId="3500227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133" w:type="dxa"/>
            <w:vAlign w:val="center"/>
          </w:tcPr>
          <w:p w14:paraId="456CB6F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730" w:type="dxa"/>
            <w:vAlign w:val="center"/>
          </w:tcPr>
          <w:p w14:paraId="147F42B0">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bl>
    <w:p w14:paraId="745F99EA">
      <w:pPr>
        <w:pageBreakBefore w:val="0"/>
        <w:kinsoku/>
        <w:topLinePunct w:val="0"/>
        <w:autoSpaceDE/>
        <w:autoSpaceDN/>
        <w:bidi w:val="0"/>
        <w:spacing w:line="360" w:lineRule="auto"/>
        <w:rPr>
          <w:rFonts w:ascii="宋体" w:hAnsi="宋体" w:eastAsia="宋体"/>
          <w:color w:val="auto"/>
          <w:sz w:val="21"/>
          <w:szCs w:val="21"/>
          <w:highlight w:val="none"/>
        </w:rPr>
      </w:pPr>
    </w:p>
    <w:p w14:paraId="43AA38D2">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14:paraId="2BA81C3B">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47750306">
      <w:pPr>
        <w:pageBreakBefore w:val="0"/>
        <w:kinsoku/>
        <w:topLinePunct w:val="0"/>
        <w:autoSpaceDE/>
        <w:autoSpaceDN/>
        <w:bidi w:val="0"/>
        <w:spacing w:line="360" w:lineRule="auto"/>
        <w:rPr>
          <w:rFonts w:ascii="宋体" w:hAnsi="宋体" w:eastAsia="宋体"/>
          <w:color w:val="auto"/>
          <w:sz w:val="21"/>
          <w:szCs w:val="21"/>
          <w:highlight w:val="none"/>
        </w:rPr>
      </w:pPr>
    </w:p>
    <w:p w14:paraId="01C58675">
      <w:pPr>
        <w:pageBreakBefore w:val="0"/>
        <w:kinsoku/>
        <w:topLinePunct w:val="0"/>
        <w:autoSpaceDE/>
        <w:autoSpaceDN/>
        <w:bidi w:val="0"/>
        <w:spacing w:line="360" w:lineRule="auto"/>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47A10015">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14:paraId="14E91671">
      <w:pPr>
        <w:pageBreakBefore w:val="0"/>
        <w:kinsoku/>
        <w:topLinePunct w:val="0"/>
        <w:autoSpaceDE/>
        <w:autoSpaceDN/>
        <w:bidi w:val="0"/>
        <w:spacing w:after="0"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2、商务条款</w:t>
      </w:r>
      <w:r>
        <w:rPr>
          <w:rFonts w:hint="eastAsia" w:ascii="宋体" w:hAnsi="宋体" w:eastAsia="宋体"/>
          <w:color w:val="auto"/>
          <w:sz w:val="21"/>
          <w:szCs w:val="21"/>
          <w:highlight w:val="none"/>
          <w:lang w:eastAsia="zh-CN"/>
        </w:rPr>
        <w:t>根据“第三部分</w:t>
      </w:r>
      <w:r>
        <w:rPr>
          <w:rFonts w:hint="eastAsia" w:ascii="宋体" w:hAnsi="宋体" w:eastAsia="宋体"/>
          <w:color w:val="auto"/>
          <w:sz w:val="21"/>
          <w:szCs w:val="21"/>
          <w:highlight w:val="none"/>
          <w:lang w:val="en-US" w:eastAsia="zh-CN"/>
        </w:rPr>
        <w:t xml:space="preserve"> 用户需求书</w:t>
      </w:r>
      <w:r>
        <w:rPr>
          <w:rFonts w:hint="eastAsia" w:ascii="宋体" w:hAnsi="宋体" w:eastAsia="宋体"/>
          <w:color w:val="auto"/>
          <w:sz w:val="21"/>
          <w:szCs w:val="21"/>
          <w:highlight w:val="none"/>
          <w:lang w:eastAsia="zh-CN"/>
        </w:rPr>
        <w:t>”的“商务需求”填写。</w:t>
      </w:r>
    </w:p>
    <w:p w14:paraId="2674026A">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eastAsia="zh-CN"/>
        </w:rPr>
        <w:t>若文件有具体要求的，应按照文件要求进行逐一响应，并提供相应的证明材料</w:t>
      </w:r>
      <w:r>
        <w:rPr>
          <w:rFonts w:hint="eastAsia" w:ascii="宋体" w:hAnsi="宋体" w:eastAsia="宋体"/>
          <w:color w:val="auto"/>
          <w:sz w:val="21"/>
          <w:szCs w:val="21"/>
          <w:highlight w:val="none"/>
        </w:rPr>
        <w:t>。</w:t>
      </w:r>
    </w:p>
    <w:p w14:paraId="672734D2">
      <w:pPr>
        <w:pageBreakBefore w:val="0"/>
        <w:kinsoku/>
        <w:topLinePunct w:val="0"/>
        <w:autoSpaceDE/>
        <w:autoSpaceDN/>
        <w:bidi w:val="0"/>
        <w:adjustRightInd/>
        <w:snapToGrid/>
        <w:spacing w:line="360" w:lineRule="auto"/>
        <w:rPr>
          <w:color w:val="auto"/>
          <w:highlight w:val="none"/>
        </w:rPr>
      </w:pPr>
    </w:p>
    <w:p w14:paraId="6E92164E">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12" w:name="_Toc7552"/>
      <w:r>
        <w:rPr>
          <w:rFonts w:hint="eastAsia" w:ascii="宋体" w:hAnsi="宋体" w:eastAsia="宋体"/>
          <w:color w:val="auto"/>
          <w:sz w:val="21"/>
          <w:szCs w:val="21"/>
          <w:highlight w:val="none"/>
        </w:rPr>
        <w:t xml:space="preserve">附件11. </w:t>
      </w:r>
      <w:r>
        <w:rPr>
          <w:rFonts w:hint="eastAsia" w:ascii="宋体" w:hAnsi="宋体" w:eastAsia="宋体"/>
          <w:color w:val="auto"/>
          <w:sz w:val="21"/>
          <w:szCs w:val="21"/>
          <w:highlight w:val="none"/>
          <w:lang w:eastAsia="zh-CN"/>
        </w:rPr>
        <w:t>技术条款</w:t>
      </w:r>
      <w:r>
        <w:rPr>
          <w:rFonts w:hint="eastAsia" w:ascii="宋体" w:hAnsi="宋体" w:eastAsia="宋体"/>
          <w:color w:val="auto"/>
          <w:sz w:val="21"/>
          <w:szCs w:val="21"/>
          <w:highlight w:val="none"/>
        </w:rPr>
        <w:t>偏离表格式</w:t>
      </w:r>
      <w:bookmarkEnd w:id="112"/>
    </w:p>
    <w:p w14:paraId="3026CA14">
      <w:pPr>
        <w:pageBreakBefore w:val="0"/>
        <w:kinsoku/>
        <w:topLinePunct w:val="0"/>
        <w:autoSpaceDE/>
        <w:autoSpaceDN/>
        <w:bidi w:val="0"/>
        <w:spacing w:line="360" w:lineRule="auto"/>
        <w:jc w:val="center"/>
        <w:rPr>
          <w:rFonts w:ascii="黑体" w:eastAsia="黑体"/>
          <w:color w:val="auto"/>
          <w:sz w:val="28"/>
          <w:szCs w:val="28"/>
          <w:highlight w:val="none"/>
        </w:rPr>
      </w:pPr>
    </w:p>
    <w:p w14:paraId="4C41BDA2">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lang w:eastAsia="zh-CN"/>
        </w:rPr>
        <w:t>技术条款</w:t>
      </w:r>
      <w:r>
        <w:rPr>
          <w:rFonts w:hint="eastAsia" w:ascii="黑体" w:eastAsia="黑体"/>
          <w:color w:val="auto"/>
          <w:sz w:val="28"/>
          <w:szCs w:val="28"/>
          <w:highlight w:val="none"/>
        </w:rPr>
        <w:t>偏离表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73"/>
        <w:gridCol w:w="1699"/>
        <w:gridCol w:w="1629"/>
        <w:gridCol w:w="1239"/>
        <w:gridCol w:w="1544"/>
      </w:tblGrid>
      <w:tr w14:paraId="4EFA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248C4812">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73" w:type="dxa"/>
            <w:vAlign w:val="center"/>
          </w:tcPr>
          <w:p w14:paraId="63D3CF29">
            <w:pPr>
              <w:pageBreakBefore w:val="0"/>
              <w:kinsoku/>
              <w:topLinePunct w:val="0"/>
              <w:autoSpaceDE/>
              <w:autoSpaceDN/>
              <w:bidi w:val="0"/>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技术条款名称</w:t>
            </w:r>
          </w:p>
        </w:tc>
        <w:tc>
          <w:tcPr>
            <w:tcW w:w="1699" w:type="dxa"/>
            <w:vAlign w:val="center"/>
          </w:tcPr>
          <w:p w14:paraId="5070A54A">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14:paraId="71ECAFE4">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14:paraId="47CD0DD4">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14:paraId="6FFD767C">
            <w:pPr>
              <w:pageBreakBefore w:val="0"/>
              <w:kinsoku/>
              <w:topLinePunct w:val="0"/>
              <w:autoSpaceDE/>
              <w:autoSpaceDN/>
              <w:bidi w:val="0"/>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14:paraId="59E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A6876E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42882D74">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398C997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5A16C60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366B43A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372E5DE8">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7F48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C74F53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241B59B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46B1EF1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59E8AB9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74446BC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7DA0F414">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0556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0847BF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6B6876B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3794E5A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5D74AF2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5D7EA89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0E5C5DA4">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059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82740B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44126F8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08B95BE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5D3BB694">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28E23B4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45407FBD">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179B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A4EFF0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1812647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6B221CC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1B5909B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3316088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77D2EE64">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1430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FA52CE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26A11B1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51B9A2C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35D961A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28437CF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372B795C">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1325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82C37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759718C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10B3CC3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1CCE6B6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0CD26A8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0DA45599">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728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285330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4E62B32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11242F6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5968E46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649A514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005390F4">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85D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43419E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358235C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11AC6DB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4DD92BD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4A47521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145E784B">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1EE2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7CEC3F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73" w:type="dxa"/>
            <w:vAlign w:val="center"/>
          </w:tcPr>
          <w:p w14:paraId="7A3E01F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99" w:type="dxa"/>
            <w:vAlign w:val="center"/>
          </w:tcPr>
          <w:p w14:paraId="101B8DC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629" w:type="dxa"/>
            <w:vAlign w:val="center"/>
          </w:tcPr>
          <w:p w14:paraId="0196BC1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239" w:type="dxa"/>
            <w:vAlign w:val="center"/>
          </w:tcPr>
          <w:p w14:paraId="5FB1785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1544" w:type="dxa"/>
            <w:vAlign w:val="center"/>
          </w:tcPr>
          <w:p w14:paraId="65F15160">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bl>
    <w:p w14:paraId="3371444A">
      <w:pPr>
        <w:pageBreakBefore w:val="0"/>
        <w:kinsoku/>
        <w:topLinePunct w:val="0"/>
        <w:autoSpaceDE/>
        <w:autoSpaceDN/>
        <w:bidi w:val="0"/>
        <w:spacing w:line="360" w:lineRule="auto"/>
        <w:rPr>
          <w:rFonts w:ascii="宋体" w:hAnsi="宋体" w:eastAsia="宋体"/>
          <w:color w:val="auto"/>
          <w:sz w:val="21"/>
          <w:szCs w:val="21"/>
          <w:highlight w:val="none"/>
        </w:rPr>
      </w:pPr>
    </w:p>
    <w:p w14:paraId="0025083F">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14:paraId="23921C68">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23EB91C4">
      <w:pPr>
        <w:pageBreakBefore w:val="0"/>
        <w:kinsoku/>
        <w:topLinePunct w:val="0"/>
        <w:autoSpaceDE/>
        <w:autoSpaceDN/>
        <w:bidi w:val="0"/>
        <w:spacing w:line="360" w:lineRule="auto"/>
        <w:ind w:firstLine="178" w:firstLineChars="85"/>
        <w:rPr>
          <w:rFonts w:ascii="宋体" w:hAnsi="宋体" w:eastAsia="宋体"/>
          <w:color w:val="auto"/>
          <w:sz w:val="21"/>
          <w:szCs w:val="21"/>
          <w:highlight w:val="none"/>
        </w:rPr>
      </w:pPr>
    </w:p>
    <w:p w14:paraId="7D2D07F3">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69A51F4C">
      <w:pPr>
        <w:pageBreakBefore w:val="0"/>
        <w:kinsoku/>
        <w:topLinePunct w:val="0"/>
        <w:autoSpaceDE/>
        <w:autoSpaceDN/>
        <w:bidi w:val="0"/>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14:paraId="3D6F418D">
      <w:pPr>
        <w:pageBreakBefore w:val="0"/>
        <w:kinsoku/>
        <w:topLinePunct w:val="0"/>
        <w:autoSpaceDE/>
        <w:autoSpaceDN/>
        <w:bidi w:val="0"/>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技术</w:t>
      </w:r>
      <w:r>
        <w:rPr>
          <w:rFonts w:hint="eastAsia" w:ascii="宋体" w:hAnsi="宋体" w:eastAsia="宋体"/>
          <w:color w:val="auto"/>
          <w:sz w:val="21"/>
          <w:szCs w:val="21"/>
          <w:highlight w:val="none"/>
        </w:rPr>
        <w:t>条款</w:t>
      </w:r>
      <w:r>
        <w:rPr>
          <w:rFonts w:hint="eastAsia" w:ascii="宋体" w:hAnsi="宋体" w:eastAsia="宋体"/>
          <w:color w:val="auto"/>
          <w:sz w:val="21"/>
          <w:szCs w:val="21"/>
          <w:highlight w:val="none"/>
          <w:lang w:eastAsia="zh-CN"/>
        </w:rPr>
        <w:t>根据“第三部分</w:t>
      </w:r>
      <w:r>
        <w:rPr>
          <w:rFonts w:hint="eastAsia" w:ascii="宋体" w:hAnsi="宋体" w:eastAsia="宋体"/>
          <w:color w:val="auto"/>
          <w:sz w:val="21"/>
          <w:szCs w:val="21"/>
          <w:highlight w:val="none"/>
          <w:lang w:val="en-US" w:eastAsia="zh-CN"/>
        </w:rPr>
        <w:t xml:space="preserve"> 用户需求书</w:t>
      </w:r>
      <w:r>
        <w:rPr>
          <w:rFonts w:hint="eastAsia" w:ascii="宋体" w:hAnsi="宋体" w:eastAsia="宋体"/>
          <w:color w:val="auto"/>
          <w:sz w:val="21"/>
          <w:szCs w:val="21"/>
          <w:highlight w:val="none"/>
          <w:lang w:eastAsia="zh-CN"/>
        </w:rPr>
        <w:t>”的“技术需求”填写。</w:t>
      </w:r>
    </w:p>
    <w:p w14:paraId="38638FFA">
      <w:pPr>
        <w:pageBreakBefore w:val="0"/>
        <w:kinsoku/>
        <w:topLinePunct w:val="0"/>
        <w:autoSpaceDE/>
        <w:autoSpaceDN/>
        <w:bidi w:val="0"/>
        <w:spacing w:after="0" w:line="360" w:lineRule="auto"/>
        <w:rPr>
          <w:rFonts w:ascii="宋体" w:hAnsi="宋体" w:eastAsia="宋体"/>
          <w:color w:val="auto"/>
          <w:sz w:val="21"/>
          <w:szCs w:val="21"/>
          <w:highlight w:val="none"/>
        </w:rPr>
      </w:pPr>
    </w:p>
    <w:p w14:paraId="286BB680">
      <w:pPr>
        <w:pageBreakBefore w:val="0"/>
        <w:kinsoku/>
        <w:topLinePunct w:val="0"/>
        <w:autoSpaceDE/>
        <w:autoSpaceDN/>
        <w:bidi w:val="0"/>
        <w:adjustRightInd/>
        <w:snapToGrid/>
        <w:spacing w:line="360" w:lineRule="auto"/>
        <w:rPr>
          <w:color w:val="auto"/>
          <w:highlight w:val="none"/>
        </w:rPr>
      </w:pPr>
    </w:p>
    <w:p w14:paraId="676994FC">
      <w:pPr>
        <w:pageBreakBefore w:val="0"/>
        <w:kinsoku/>
        <w:topLinePunct w:val="0"/>
        <w:autoSpaceDE/>
        <w:autoSpaceDN/>
        <w:bidi w:val="0"/>
        <w:spacing w:line="360" w:lineRule="auto"/>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14:paraId="6F3525BC">
      <w:pPr>
        <w:pStyle w:val="5"/>
        <w:pageBreakBefore w:val="0"/>
        <w:widowControl w:val="0"/>
        <w:kinsoku/>
        <w:overflowPunct w:val="0"/>
        <w:topLinePunct w:val="0"/>
        <w:autoSpaceDE/>
        <w:autoSpaceDN/>
        <w:bidi w:val="0"/>
        <w:spacing w:before="0" w:after="0" w:line="360" w:lineRule="auto"/>
        <w:rPr>
          <w:rFonts w:ascii="宋体" w:hAnsi="宋体" w:eastAsia="宋体" w:cs="Times New Roman"/>
          <w:b w:val="0"/>
          <w:bCs w:val="0"/>
          <w:color w:val="auto"/>
          <w:sz w:val="32"/>
          <w:szCs w:val="32"/>
          <w:highlight w:val="none"/>
        </w:rPr>
      </w:pPr>
      <w:bookmarkStart w:id="114" w:name="_Toc9275"/>
      <w:r>
        <w:rPr>
          <w:rFonts w:hint="eastAsia" w:ascii="宋体" w:hAnsi="宋体" w:eastAsia="宋体"/>
          <w:color w:val="auto"/>
          <w:sz w:val="21"/>
          <w:szCs w:val="21"/>
          <w:highlight w:val="none"/>
        </w:rPr>
        <w:t>附件12.重要技术参数（▲）响应表</w:t>
      </w:r>
      <w:bookmarkEnd w:id="113"/>
      <w:bookmarkEnd w:id="114"/>
    </w:p>
    <w:p w14:paraId="4D87915A">
      <w:pPr>
        <w:pageBreakBefore w:val="0"/>
        <w:kinsoku/>
        <w:topLinePunct w:val="0"/>
        <w:autoSpaceDE/>
        <w:autoSpaceDN/>
        <w:bidi w:val="0"/>
        <w:spacing w:line="360" w:lineRule="auto"/>
        <w:jc w:val="center"/>
        <w:rPr>
          <w:rFonts w:ascii="黑体" w:eastAsia="黑体"/>
          <w:color w:val="auto"/>
          <w:sz w:val="28"/>
          <w:szCs w:val="28"/>
          <w:highlight w:val="none"/>
        </w:rPr>
      </w:pPr>
      <w:bookmarkStart w:id="115" w:name="_Toc26078"/>
      <w:bookmarkStart w:id="116" w:name="_Toc1274"/>
      <w:bookmarkStart w:id="117" w:name="_Toc4827"/>
      <w:bookmarkStart w:id="118" w:name="_Toc6080"/>
      <w:bookmarkStart w:id="119" w:name="_Toc4464"/>
      <w:bookmarkStart w:id="120" w:name="_Toc18668"/>
    </w:p>
    <w:p w14:paraId="3B826FB8">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14:paraId="38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2CFCC5F1">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bookmarkStart w:id="121" w:name="_Toc14815"/>
            <w:bookmarkStart w:id="122" w:name="_Toc15903"/>
            <w:bookmarkStart w:id="123" w:name="_Toc21208"/>
            <w:bookmarkStart w:id="124" w:name="_Toc29642"/>
            <w:bookmarkStart w:id="125" w:name="_Toc10045"/>
            <w:bookmarkStart w:id="126" w:name="_Toc21739"/>
            <w:bookmarkStart w:id="127" w:name="_Toc2700"/>
            <w:bookmarkStart w:id="128" w:name="_Toc15357"/>
            <w:bookmarkStart w:id="129" w:name="_Toc12049"/>
            <w:bookmarkStart w:id="130" w:name="_Toc16872"/>
            <w:bookmarkStart w:id="131" w:name="_Toc4304"/>
            <w:bookmarkStart w:id="132" w:name="_Toc22448"/>
            <w:bookmarkStart w:id="133" w:name="_Toc27090"/>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bookmarkEnd w:id="131"/>
            <w:bookmarkEnd w:id="132"/>
            <w:bookmarkEnd w:id="133"/>
          </w:p>
        </w:tc>
        <w:tc>
          <w:tcPr>
            <w:tcW w:w="2842" w:type="dxa"/>
            <w:vAlign w:val="center"/>
          </w:tcPr>
          <w:p w14:paraId="3EBF8CF6">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bookmarkStart w:id="134" w:name="_Toc14810"/>
            <w:bookmarkStart w:id="135" w:name="_Toc24662"/>
            <w:bookmarkStart w:id="136" w:name="_Toc22879"/>
            <w:bookmarkStart w:id="137" w:name="_Toc32531"/>
            <w:bookmarkStart w:id="138" w:name="_Toc7333"/>
            <w:bookmarkStart w:id="139" w:name="_Toc21809"/>
            <w:bookmarkStart w:id="140" w:name="_Toc27442"/>
            <w:bookmarkStart w:id="141" w:name="_Toc8490"/>
            <w:bookmarkStart w:id="142" w:name="_Toc19977"/>
            <w:bookmarkStart w:id="143" w:name="_Toc22917"/>
            <w:bookmarkStart w:id="144" w:name="_Toc8312"/>
            <w:bookmarkStart w:id="145" w:name="_Toc15615"/>
            <w:bookmarkStart w:id="146" w:name="_Toc19251"/>
            <w:r>
              <w:rPr>
                <w:rFonts w:hint="eastAsia" w:ascii="宋体" w:hAnsi="宋体" w:eastAsia="宋体" w:cs="Times New Roman"/>
                <w:color w:val="auto"/>
                <w:sz w:val="21"/>
                <w:szCs w:val="21"/>
                <w:highlight w:val="none"/>
              </w:rPr>
              <w:t>是否响应</w:t>
            </w:r>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2840" w:type="dxa"/>
            <w:vAlign w:val="center"/>
          </w:tcPr>
          <w:p w14:paraId="2DC6D8D4">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bookmarkStart w:id="147" w:name="_Toc27863"/>
            <w:bookmarkStart w:id="148" w:name="_Toc20820"/>
            <w:bookmarkStart w:id="149" w:name="_Toc31875"/>
            <w:bookmarkStart w:id="150" w:name="_Toc27185"/>
            <w:bookmarkStart w:id="151" w:name="_Toc6410"/>
            <w:bookmarkStart w:id="152" w:name="_Toc1912"/>
            <w:bookmarkStart w:id="153" w:name="_Toc17296"/>
            <w:bookmarkStart w:id="154" w:name="_Toc5992"/>
            <w:bookmarkStart w:id="155" w:name="_Toc5563"/>
            <w:bookmarkStart w:id="156" w:name="_Toc1330"/>
            <w:bookmarkStart w:id="157" w:name="_Toc3701"/>
            <w:bookmarkStart w:id="158" w:name="_Toc20139"/>
            <w:bookmarkStart w:id="159" w:name="_Toc17642"/>
            <w:r>
              <w:rPr>
                <w:rFonts w:hint="eastAsia" w:ascii="宋体" w:hAnsi="宋体" w:eastAsia="宋体" w:cs="Times New Roman"/>
                <w:color w:val="auto"/>
                <w:sz w:val="21"/>
                <w:szCs w:val="21"/>
                <w:highlight w:val="none"/>
              </w:rPr>
              <w:t>页码范围</w:t>
            </w:r>
            <w:bookmarkEnd w:id="147"/>
            <w:bookmarkEnd w:id="148"/>
            <w:bookmarkEnd w:id="149"/>
            <w:bookmarkEnd w:id="150"/>
            <w:bookmarkEnd w:id="151"/>
            <w:bookmarkEnd w:id="152"/>
            <w:bookmarkEnd w:id="153"/>
            <w:bookmarkEnd w:id="154"/>
            <w:bookmarkEnd w:id="155"/>
            <w:bookmarkEnd w:id="156"/>
            <w:bookmarkEnd w:id="157"/>
            <w:bookmarkEnd w:id="158"/>
            <w:bookmarkEnd w:id="159"/>
          </w:p>
        </w:tc>
      </w:tr>
      <w:tr w14:paraId="0609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6338CE84">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6CCC84C3">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397BB237">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r w14:paraId="6F34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1A72EDDA">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47C1F2C3">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1A91D7FF">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r w14:paraId="7909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3EC9BE49">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17708DAD">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6AC0A991">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r w14:paraId="04C8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1406FF56">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247E24D9">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18EA368B">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r w14:paraId="3110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08FB849E">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24167529">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225B3F30">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r w14:paraId="75D6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14:paraId="390AE334">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2" w:type="dxa"/>
            <w:vAlign w:val="center"/>
          </w:tcPr>
          <w:p w14:paraId="742F3DC1">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c>
          <w:tcPr>
            <w:tcW w:w="2840" w:type="dxa"/>
            <w:vAlign w:val="center"/>
          </w:tcPr>
          <w:p w14:paraId="09D12C18">
            <w:pPr>
              <w:pStyle w:val="5"/>
              <w:pageBreakBefore w:val="0"/>
              <w:widowControl w:val="0"/>
              <w:kinsoku/>
              <w:overflowPunct w:val="0"/>
              <w:topLinePunct w:val="0"/>
              <w:autoSpaceDE/>
              <w:autoSpaceDN/>
              <w:bidi w:val="0"/>
              <w:spacing w:before="0" w:after="0" w:line="360" w:lineRule="auto"/>
              <w:jc w:val="center"/>
              <w:rPr>
                <w:rFonts w:ascii="宋体" w:hAnsi="宋体" w:eastAsia="宋体" w:cs="Times New Roman"/>
                <w:color w:val="auto"/>
                <w:sz w:val="21"/>
                <w:szCs w:val="21"/>
                <w:highlight w:val="none"/>
              </w:rPr>
            </w:pPr>
          </w:p>
        </w:tc>
      </w:tr>
    </w:tbl>
    <w:p w14:paraId="3C6F10C5">
      <w:pPr>
        <w:pStyle w:val="26"/>
        <w:pageBreakBefore w:val="0"/>
        <w:kinsoku/>
        <w:topLinePunct w:val="0"/>
        <w:autoSpaceDE/>
        <w:autoSpaceDN/>
        <w:bidi w:val="0"/>
        <w:spacing w:after="0" w:line="360" w:lineRule="auto"/>
        <w:rPr>
          <w:rFonts w:ascii="宋体" w:hAnsi="宋体" w:eastAsia="宋体"/>
          <w:color w:val="auto"/>
          <w:sz w:val="21"/>
          <w:szCs w:val="21"/>
          <w:highlight w:val="none"/>
        </w:rPr>
      </w:pPr>
    </w:p>
    <w:p w14:paraId="046DBE52">
      <w:pPr>
        <w:pStyle w:val="26"/>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78CA2550">
      <w:pPr>
        <w:pStyle w:val="26"/>
        <w:pageBreakBefore w:val="0"/>
        <w:numPr>
          <w:ilvl w:val="0"/>
          <w:numId w:val="9"/>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14:paraId="4DBA26C1">
      <w:pPr>
        <w:pStyle w:val="26"/>
        <w:pageBreakBefore w:val="0"/>
        <w:numPr>
          <w:ilvl w:val="0"/>
          <w:numId w:val="9"/>
        </w:numPr>
        <w:kinsoku/>
        <w:topLinePunct w:val="0"/>
        <w:autoSpaceDE/>
        <w:autoSpaceDN/>
        <w:bidi w:val="0"/>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14:paraId="4C05689F">
      <w:pPr>
        <w:pStyle w:val="26"/>
        <w:pageBreakBefore w:val="0"/>
        <w:numPr>
          <w:ilvl w:val="0"/>
          <w:numId w:val="9"/>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14:paraId="59695855">
      <w:pPr>
        <w:pStyle w:val="26"/>
        <w:pageBreakBefore w:val="0"/>
        <w:numPr>
          <w:ilvl w:val="0"/>
          <w:numId w:val="9"/>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14:paraId="32601301">
      <w:pPr>
        <w:pStyle w:val="26"/>
        <w:pageBreakBefore w:val="0"/>
        <w:numPr>
          <w:ilvl w:val="0"/>
          <w:numId w:val="9"/>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14:paraId="7F354A41">
      <w:pPr>
        <w:pStyle w:val="5"/>
        <w:pageBreakBefore w:val="0"/>
        <w:widowControl w:val="0"/>
        <w:kinsoku/>
        <w:overflowPunct w:val="0"/>
        <w:topLinePunct w:val="0"/>
        <w:autoSpaceDE/>
        <w:autoSpaceDN/>
        <w:bidi w:val="0"/>
        <w:spacing w:before="0" w:after="0" w:line="360" w:lineRule="auto"/>
        <w:rPr>
          <w:rFonts w:ascii="宋体" w:hAnsi="宋体" w:eastAsia="宋体"/>
          <w:color w:val="auto"/>
          <w:sz w:val="30"/>
          <w:szCs w:val="30"/>
          <w:highlight w:val="none"/>
        </w:rPr>
      </w:pPr>
      <w:bookmarkStart w:id="160" w:name="_Toc19767"/>
      <w:r>
        <w:rPr>
          <w:rFonts w:hint="eastAsia" w:ascii="宋体" w:hAnsi="宋体" w:eastAsia="宋体"/>
          <w:color w:val="auto"/>
          <w:sz w:val="21"/>
          <w:szCs w:val="21"/>
          <w:highlight w:val="none"/>
        </w:rPr>
        <w:t>附件13.业绩表</w:t>
      </w:r>
      <w:bookmarkEnd w:id="160"/>
    </w:p>
    <w:p w14:paraId="2AC7665A">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6324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C98CE91">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14:paraId="774C359B">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14:paraId="04DA3453">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14:paraId="09AAF3F9">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14:paraId="20618A81">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68A9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7A7A2AAD">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p>
        </w:tc>
        <w:tc>
          <w:tcPr>
            <w:tcW w:w="1705" w:type="dxa"/>
            <w:vAlign w:val="center"/>
          </w:tcPr>
          <w:p w14:paraId="77AC564A">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p>
        </w:tc>
        <w:tc>
          <w:tcPr>
            <w:tcW w:w="1706" w:type="dxa"/>
            <w:vAlign w:val="center"/>
          </w:tcPr>
          <w:p w14:paraId="38E0D279">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p>
        </w:tc>
        <w:tc>
          <w:tcPr>
            <w:tcW w:w="1705" w:type="dxa"/>
            <w:vAlign w:val="center"/>
          </w:tcPr>
          <w:p w14:paraId="52C132AB">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p>
        </w:tc>
        <w:tc>
          <w:tcPr>
            <w:tcW w:w="1697" w:type="dxa"/>
            <w:vAlign w:val="center"/>
          </w:tcPr>
          <w:p w14:paraId="283DEB36">
            <w:pPr>
              <w:pageBreakBefore w:val="0"/>
              <w:kinsoku/>
              <w:topLinePunct w:val="0"/>
              <w:autoSpaceDE/>
              <w:autoSpaceDN/>
              <w:bidi w:val="0"/>
              <w:adjustRightInd/>
              <w:snapToGrid/>
              <w:spacing w:after="0" w:line="360" w:lineRule="auto"/>
              <w:jc w:val="center"/>
              <w:rPr>
                <w:rFonts w:ascii="宋体" w:hAnsi="宋体" w:eastAsia="宋体"/>
                <w:color w:val="auto"/>
                <w:sz w:val="21"/>
                <w:szCs w:val="21"/>
                <w:highlight w:val="none"/>
              </w:rPr>
            </w:pPr>
          </w:p>
        </w:tc>
      </w:tr>
      <w:tr w14:paraId="3F0E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9F2B333">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37970634">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6" w:type="dxa"/>
          </w:tcPr>
          <w:p w14:paraId="5C8E8D64">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0A076C4C">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697" w:type="dxa"/>
          </w:tcPr>
          <w:p w14:paraId="4A5C5CD0">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r>
      <w:tr w14:paraId="5923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3A3E5A0">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347CE854">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6" w:type="dxa"/>
          </w:tcPr>
          <w:p w14:paraId="59342E64">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7B9A0D48">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697" w:type="dxa"/>
          </w:tcPr>
          <w:p w14:paraId="51FB5098">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r>
      <w:tr w14:paraId="5B92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0CFA717">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3A58CF7A">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6" w:type="dxa"/>
          </w:tcPr>
          <w:p w14:paraId="55838AE2">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739AE8A1">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697" w:type="dxa"/>
          </w:tcPr>
          <w:p w14:paraId="77216C97">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r>
      <w:tr w14:paraId="6D4E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4458E62">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59E9B969">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6" w:type="dxa"/>
          </w:tcPr>
          <w:p w14:paraId="2EE423D6">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5DA01AA3">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697" w:type="dxa"/>
          </w:tcPr>
          <w:p w14:paraId="3C57C298">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r>
      <w:tr w14:paraId="0B12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2C6A325">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111A0895">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6" w:type="dxa"/>
          </w:tcPr>
          <w:p w14:paraId="49798DFD">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705" w:type="dxa"/>
          </w:tcPr>
          <w:p w14:paraId="4AA140EF">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c>
          <w:tcPr>
            <w:tcW w:w="1697" w:type="dxa"/>
          </w:tcPr>
          <w:p w14:paraId="7229B807">
            <w:pPr>
              <w:pageBreakBefore w:val="0"/>
              <w:kinsoku/>
              <w:topLinePunct w:val="0"/>
              <w:autoSpaceDE/>
              <w:autoSpaceDN/>
              <w:bidi w:val="0"/>
              <w:adjustRightInd/>
              <w:snapToGrid/>
              <w:spacing w:after="0" w:line="360" w:lineRule="auto"/>
              <w:rPr>
                <w:rFonts w:ascii="宋体" w:hAnsi="宋体" w:eastAsia="宋体"/>
                <w:color w:val="auto"/>
                <w:sz w:val="21"/>
                <w:szCs w:val="21"/>
                <w:highlight w:val="none"/>
              </w:rPr>
            </w:pPr>
          </w:p>
        </w:tc>
      </w:tr>
    </w:tbl>
    <w:p w14:paraId="414FE953">
      <w:pPr>
        <w:pStyle w:val="26"/>
        <w:pageBreakBefore w:val="0"/>
        <w:kinsoku/>
        <w:topLinePunct w:val="0"/>
        <w:autoSpaceDE/>
        <w:autoSpaceDN/>
        <w:bidi w:val="0"/>
        <w:spacing w:after="0" w:line="360" w:lineRule="auto"/>
        <w:rPr>
          <w:rFonts w:ascii="宋体" w:hAnsi="宋体" w:eastAsia="宋体"/>
          <w:color w:val="auto"/>
          <w:sz w:val="21"/>
          <w:szCs w:val="21"/>
          <w:highlight w:val="none"/>
        </w:rPr>
      </w:pPr>
    </w:p>
    <w:p w14:paraId="3FC734DD">
      <w:pPr>
        <w:pStyle w:val="26"/>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05B6C3D7">
      <w:pPr>
        <w:pStyle w:val="26"/>
        <w:pageBreakBefore w:val="0"/>
        <w:numPr>
          <w:ilvl w:val="0"/>
          <w:numId w:val="10"/>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14:paraId="54577A3E">
      <w:pPr>
        <w:pStyle w:val="26"/>
        <w:pageBreakBefore w:val="0"/>
        <w:numPr>
          <w:ilvl w:val="0"/>
          <w:numId w:val="10"/>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14:paraId="2006C6F4">
      <w:pPr>
        <w:pStyle w:val="26"/>
        <w:pageBreakBefore w:val="0"/>
        <w:numPr>
          <w:ilvl w:val="0"/>
          <w:numId w:val="10"/>
        </w:numPr>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14:paraId="081A2E2F">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61" w:name="_Toc20567"/>
      <w:r>
        <w:rPr>
          <w:rFonts w:hint="eastAsia" w:ascii="宋体" w:hAnsi="宋体" w:eastAsia="宋体"/>
          <w:color w:val="auto"/>
          <w:sz w:val="21"/>
          <w:szCs w:val="21"/>
          <w:highlight w:val="none"/>
        </w:rPr>
        <w:t>附件14. 项目实施方案格式</w:t>
      </w:r>
      <w:bookmarkEnd w:id="161"/>
    </w:p>
    <w:p w14:paraId="3F65E346">
      <w:pPr>
        <w:pageBreakBefore w:val="0"/>
        <w:kinsoku/>
        <w:topLinePunct w:val="0"/>
        <w:autoSpaceDE/>
        <w:autoSpaceDN/>
        <w:bidi w:val="0"/>
        <w:spacing w:line="360" w:lineRule="auto"/>
        <w:jc w:val="center"/>
        <w:rPr>
          <w:rFonts w:ascii="黑体" w:eastAsia="黑体"/>
          <w:color w:val="auto"/>
          <w:sz w:val="32"/>
          <w:szCs w:val="32"/>
          <w:highlight w:val="none"/>
        </w:rPr>
      </w:pPr>
    </w:p>
    <w:p w14:paraId="1FB67D5C">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623F558C">
      <w:pPr>
        <w:pageBreakBefore w:val="0"/>
        <w:kinsoku/>
        <w:topLinePunct w:val="0"/>
        <w:autoSpaceDE/>
        <w:autoSpaceDN/>
        <w:bidi w:val="0"/>
        <w:spacing w:line="360" w:lineRule="auto"/>
        <w:jc w:val="center"/>
        <w:rPr>
          <w:rFonts w:ascii="黑体" w:eastAsia="黑体"/>
          <w:color w:val="auto"/>
          <w:sz w:val="32"/>
          <w:szCs w:val="32"/>
          <w:highlight w:val="none"/>
        </w:rPr>
      </w:pPr>
    </w:p>
    <w:p w14:paraId="07FB93FA">
      <w:pPr>
        <w:keepNext w:val="0"/>
        <w:keepLines w:val="0"/>
        <w:pageBreakBefore w:val="0"/>
        <w:widowControl/>
        <w:kinsoku/>
        <w:wordWrap/>
        <w:overflowPunct/>
        <w:topLinePunct w:val="0"/>
        <w:autoSpaceDE/>
        <w:autoSpaceDN/>
        <w:bidi w:val="0"/>
        <w:adjustRightInd w:val="0"/>
        <w:snapToGrid w:val="0"/>
        <w:spacing w:after="0" w:line="360" w:lineRule="auto"/>
        <w:ind w:left="141" w:leftChars="64"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投标人可根据“第二部分 相关资料表格”的“附表二：商务技术评分及价格权重表”自行编写。</w:t>
      </w:r>
    </w:p>
    <w:p w14:paraId="13C63E08">
      <w:pPr>
        <w:pageBreakBefore w:val="0"/>
        <w:kinsoku/>
        <w:topLinePunct w:val="0"/>
        <w:autoSpaceDE/>
        <w:autoSpaceDN/>
        <w:bidi w:val="0"/>
        <w:spacing w:after="0" w:line="360" w:lineRule="auto"/>
        <w:ind w:left="738" w:leftChars="200" w:hanging="298" w:hangingChars="142"/>
        <w:rPr>
          <w:rFonts w:ascii="宋体" w:hAnsi="宋体" w:eastAsia="宋体"/>
          <w:color w:val="auto"/>
          <w:sz w:val="21"/>
          <w:szCs w:val="21"/>
          <w:highlight w:val="none"/>
        </w:rPr>
      </w:pPr>
    </w:p>
    <w:p w14:paraId="60D6C487">
      <w:pPr>
        <w:pageBreakBefore w:val="0"/>
        <w:kinsoku/>
        <w:topLinePunct w:val="0"/>
        <w:autoSpaceDE/>
        <w:autoSpaceDN/>
        <w:bidi w:val="0"/>
        <w:spacing w:after="0" w:line="360" w:lineRule="auto"/>
        <w:ind w:left="738" w:leftChars="200" w:hanging="298" w:hangingChars="142"/>
        <w:rPr>
          <w:rFonts w:ascii="宋体" w:hAnsi="宋体" w:eastAsia="宋体"/>
          <w:color w:val="auto"/>
          <w:sz w:val="21"/>
          <w:szCs w:val="21"/>
          <w:highlight w:val="none"/>
        </w:rPr>
      </w:pPr>
    </w:p>
    <w:p w14:paraId="4CD783CE">
      <w:pPr>
        <w:pageBreakBefore w:val="0"/>
        <w:kinsoku/>
        <w:topLinePunct w:val="0"/>
        <w:autoSpaceDE/>
        <w:autoSpaceDN/>
        <w:bidi w:val="0"/>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14:paraId="7AA3FE1A">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62" w:name="_Toc2677"/>
      <w:r>
        <w:rPr>
          <w:rFonts w:hint="eastAsia" w:ascii="宋体" w:hAnsi="宋体" w:eastAsia="宋体"/>
          <w:color w:val="auto"/>
          <w:sz w:val="21"/>
          <w:szCs w:val="21"/>
          <w:highlight w:val="none"/>
        </w:rPr>
        <w:t>附件15. 实施本项目的有关人员资料表格式</w:t>
      </w:r>
      <w:bookmarkEnd w:id="162"/>
    </w:p>
    <w:p w14:paraId="5B52F6A6">
      <w:pPr>
        <w:pageBreakBefore w:val="0"/>
        <w:kinsoku/>
        <w:topLinePunct w:val="0"/>
        <w:autoSpaceDE/>
        <w:autoSpaceDN/>
        <w:bidi w:val="0"/>
        <w:spacing w:line="360" w:lineRule="auto"/>
        <w:jc w:val="center"/>
        <w:rPr>
          <w:rFonts w:ascii="宋体" w:hAnsi="宋体" w:eastAsia="宋体"/>
          <w:color w:val="auto"/>
          <w:sz w:val="21"/>
          <w:szCs w:val="21"/>
          <w:highlight w:val="none"/>
        </w:rPr>
      </w:pPr>
    </w:p>
    <w:p w14:paraId="2D3BFD0D">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83"/>
        <w:gridCol w:w="1497"/>
        <w:gridCol w:w="820"/>
        <w:gridCol w:w="761"/>
        <w:gridCol w:w="916"/>
        <w:gridCol w:w="914"/>
        <w:gridCol w:w="847"/>
        <w:gridCol w:w="1172"/>
      </w:tblGrid>
      <w:tr w14:paraId="1C6C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5803ED2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518" w:type="pct"/>
            <w:vAlign w:val="center"/>
          </w:tcPr>
          <w:p w14:paraId="4C5A5D3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878" w:type="pct"/>
            <w:vAlign w:val="center"/>
          </w:tcPr>
          <w:p w14:paraId="6103CD5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481" w:type="pct"/>
            <w:vAlign w:val="center"/>
          </w:tcPr>
          <w:p w14:paraId="72A611B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446" w:type="pct"/>
            <w:vAlign w:val="center"/>
          </w:tcPr>
          <w:p w14:paraId="57B7B2F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537" w:type="pct"/>
            <w:vAlign w:val="center"/>
          </w:tcPr>
          <w:p w14:paraId="1039231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536" w:type="pct"/>
            <w:vAlign w:val="center"/>
          </w:tcPr>
          <w:p w14:paraId="3CC58F8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497" w:type="pct"/>
            <w:vAlign w:val="center"/>
          </w:tcPr>
          <w:p w14:paraId="7696056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687" w:type="pct"/>
            <w:tcBorders>
              <w:right w:val="single" w:color="auto" w:sz="6" w:space="0"/>
            </w:tcBorders>
            <w:vAlign w:val="center"/>
          </w:tcPr>
          <w:p w14:paraId="3EC2425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5CE2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623F07C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2CCC5B1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122F466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68980DF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5FA4688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4A01632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4D92BA7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0DFFF31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3AB6EAF8">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EFD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3323E55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3067C8F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27AD6FA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3EF1085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72C5523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33FD917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26CEF70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611D5DC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2AA068C5">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3F2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7E729D5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3DB9AC0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4B94656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4C8F097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0E0927C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1467370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0135810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4605086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55F15ECF">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7AD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4FBA404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39571A8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47567F3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2072FC5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1620780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156BB40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5D9A765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22E381A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178EA687">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60C2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7E688A3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553AEDD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279510F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4070692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16C2393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6445A52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617F375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04B61C1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021E4F0C">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0FB2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631E767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02072CA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084253D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72367A0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6978D51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70F7C66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3FCA940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3456425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3528B5E0">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4BB0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64CE612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1C23768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231811D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5B767FE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5A1DCC66">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3374C019">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767AD8D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641461B4">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3AC6C2F9">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3A66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1D005F6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59BF5354">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341EC523">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7BB3B3C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3D003A05">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1DBAF0B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11EEAEF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5204227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3F8FC8E5">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5B7F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0DD71ADB">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7F3E7A7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63D56DD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07A5E1B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45FBB70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072798A8">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7DB0977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0A1DEA2E">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5FF6F188">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r w14:paraId="0616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14:paraId="032E061A">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18" w:type="pct"/>
            <w:vAlign w:val="center"/>
          </w:tcPr>
          <w:p w14:paraId="21660617">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878" w:type="pct"/>
            <w:vAlign w:val="center"/>
          </w:tcPr>
          <w:p w14:paraId="091FA92F">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81" w:type="pct"/>
            <w:vAlign w:val="center"/>
          </w:tcPr>
          <w:p w14:paraId="3AAEC2A1">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46" w:type="pct"/>
            <w:vAlign w:val="center"/>
          </w:tcPr>
          <w:p w14:paraId="3CFD9670">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7" w:type="pct"/>
            <w:vAlign w:val="center"/>
          </w:tcPr>
          <w:p w14:paraId="7081171D">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536" w:type="pct"/>
            <w:vAlign w:val="center"/>
          </w:tcPr>
          <w:p w14:paraId="42CF0BCC">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497" w:type="pct"/>
            <w:vAlign w:val="center"/>
          </w:tcPr>
          <w:p w14:paraId="493489A2">
            <w:pPr>
              <w:pageBreakBefore w:val="0"/>
              <w:kinsoku/>
              <w:topLinePunct w:val="0"/>
              <w:autoSpaceDE/>
              <w:autoSpaceDN/>
              <w:bidi w:val="0"/>
              <w:spacing w:line="360" w:lineRule="auto"/>
              <w:jc w:val="center"/>
              <w:rPr>
                <w:rFonts w:ascii="宋体" w:hAnsi="宋体" w:eastAsia="宋体"/>
                <w:color w:val="auto"/>
                <w:sz w:val="21"/>
                <w:szCs w:val="21"/>
                <w:highlight w:val="none"/>
              </w:rPr>
            </w:pPr>
          </w:p>
        </w:tc>
        <w:tc>
          <w:tcPr>
            <w:tcW w:w="687" w:type="pct"/>
            <w:tcBorders>
              <w:right w:val="single" w:color="auto" w:sz="6" w:space="0"/>
            </w:tcBorders>
            <w:vAlign w:val="center"/>
          </w:tcPr>
          <w:p w14:paraId="4A70CF99">
            <w:pPr>
              <w:pageBreakBefore w:val="0"/>
              <w:kinsoku/>
              <w:topLinePunct w:val="0"/>
              <w:autoSpaceDE/>
              <w:autoSpaceDN/>
              <w:bidi w:val="0"/>
              <w:spacing w:line="360" w:lineRule="auto"/>
              <w:jc w:val="center"/>
              <w:rPr>
                <w:rFonts w:ascii="宋体" w:hAnsi="宋体" w:eastAsia="宋体"/>
                <w:color w:val="auto"/>
                <w:sz w:val="21"/>
                <w:szCs w:val="21"/>
                <w:highlight w:val="none"/>
              </w:rPr>
            </w:pPr>
          </w:p>
        </w:tc>
      </w:tr>
    </w:tbl>
    <w:p w14:paraId="40CADB24">
      <w:pPr>
        <w:pageBreakBefore w:val="0"/>
        <w:kinsoku/>
        <w:topLinePunct w:val="0"/>
        <w:autoSpaceDE/>
        <w:autoSpaceDN/>
        <w:bidi w:val="0"/>
        <w:spacing w:line="360" w:lineRule="auto"/>
        <w:ind w:firstLine="178" w:firstLineChars="85"/>
        <w:rPr>
          <w:rFonts w:ascii="宋体" w:hAnsi="宋体" w:eastAsia="宋体"/>
          <w:color w:val="auto"/>
          <w:sz w:val="21"/>
          <w:szCs w:val="21"/>
          <w:highlight w:val="none"/>
        </w:rPr>
      </w:pPr>
    </w:p>
    <w:p w14:paraId="321494BB">
      <w:pPr>
        <w:pageBreakBefore w:val="0"/>
        <w:kinsoku/>
        <w:topLinePunct w:val="0"/>
        <w:autoSpaceDE/>
        <w:autoSpaceDN/>
        <w:bidi w:val="0"/>
        <w:spacing w:line="360" w:lineRule="auto"/>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14:paraId="2E4FF43E">
      <w:pPr>
        <w:pageBreakBefore w:val="0"/>
        <w:kinsoku/>
        <w:topLinePunct w:val="0"/>
        <w:autoSpaceDE/>
        <w:autoSpaceDN/>
        <w:bidi w:val="0"/>
        <w:spacing w:line="360" w:lineRule="auto"/>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14:paraId="44450F3E">
      <w:pPr>
        <w:pageBreakBefore w:val="0"/>
        <w:kinsoku/>
        <w:topLinePunct w:val="0"/>
        <w:autoSpaceDE/>
        <w:autoSpaceDN/>
        <w:bidi w:val="0"/>
        <w:spacing w:line="360" w:lineRule="auto"/>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18A869F3">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14:paraId="008219E9">
      <w:pPr>
        <w:pStyle w:val="26"/>
        <w:pageBreakBefore w:val="0"/>
        <w:numPr>
          <w:ilvl w:val="0"/>
          <w:numId w:val="11"/>
        </w:numPr>
        <w:kinsoku/>
        <w:topLinePunct w:val="0"/>
        <w:autoSpaceDE/>
        <w:autoSpaceDN/>
        <w:bidi w:val="0"/>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w:t>
      </w:r>
      <w:r>
        <w:rPr>
          <w:rFonts w:hint="eastAsia" w:ascii="宋体" w:hAnsi="宋体" w:eastAsia="宋体"/>
          <w:color w:val="auto"/>
          <w:sz w:val="21"/>
          <w:szCs w:val="21"/>
          <w:highlight w:val="none"/>
          <w:lang w:eastAsia="zh-CN"/>
        </w:rPr>
        <w:t>或招标文件的要求</w:t>
      </w:r>
      <w:r>
        <w:rPr>
          <w:rFonts w:hint="eastAsia" w:ascii="宋体" w:hAnsi="宋体" w:eastAsia="宋体"/>
          <w:color w:val="auto"/>
          <w:sz w:val="21"/>
          <w:szCs w:val="21"/>
          <w:highlight w:val="none"/>
        </w:rPr>
        <w:t>提供本表格。</w:t>
      </w:r>
    </w:p>
    <w:p w14:paraId="083A7C76">
      <w:pPr>
        <w:pStyle w:val="26"/>
        <w:pageBreakBefore w:val="0"/>
        <w:numPr>
          <w:ilvl w:val="0"/>
          <w:numId w:val="11"/>
        </w:numPr>
        <w:kinsoku/>
        <w:topLinePunct w:val="0"/>
        <w:autoSpaceDE/>
        <w:autoSpaceDN/>
        <w:bidi w:val="0"/>
        <w:spacing w:line="360" w:lineRule="auto"/>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14:paraId="32058CC9">
      <w:pPr>
        <w:pStyle w:val="26"/>
        <w:pageBreakBefore w:val="0"/>
        <w:numPr>
          <w:ilvl w:val="0"/>
          <w:numId w:val="11"/>
        </w:numPr>
        <w:kinsoku/>
        <w:topLinePunct w:val="0"/>
        <w:autoSpaceDE/>
        <w:autoSpaceDN/>
        <w:bidi w:val="0"/>
        <w:spacing w:line="360" w:lineRule="auto"/>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eastAsia="zh-CN"/>
        </w:rPr>
        <w:t>如本项目不涉及此表内容，则无需提供此表。</w:t>
      </w:r>
      <w:r>
        <w:rPr>
          <w:rFonts w:hint="eastAsia" w:ascii="宋体" w:hAnsi="宋体" w:eastAsia="宋体"/>
          <w:color w:val="auto"/>
          <w:sz w:val="21"/>
          <w:szCs w:val="21"/>
          <w:highlight w:val="none"/>
        </w:rPr>
        <w:br w:type="page"/>
      </w:r>
    </w:p>
    <w:p w14:paraId="6EEE7CC7">
      <w:pPr>
        <w:pStyle w:val="5"/>
        <w:pageBreakBefore w:val="0"/>
        <w:widowControl w:val="0"/>
        <w:kinsoku/>
        <w:overflowPunct w:val="0"/>
        <w:topLinePunct w:val="0"/>
        <w:autoSpaceDE/>
        <w:autoSpaceDN/>
        <w:bidi w:val="0"/>
        <w:spacing w:before="0" w:after="0" w:line="360" w:lineRule="auto"/>
        <w:rPr>
          <w:rFonts w:ascii="宋体" w:hAnsi="宋体" w:eastAsia="宋体"/>
          <w:color w:val="auto"/>
          <w:sz w:val="21"/>
          <w:szCs w:val="21"/>
          <w:highlight w:val="none"/>
        </w:rPr>
      </w:pPr>
      <w:bookmarkStart w:id="163" w:name="_Toc27215"/>
      <w:r>
        <w:rPr>
          <w:rFonts w:hint="eastAsia" w:ascii="宋体" w:hAnsi="宋体" w:eastAsia="宋体"/>
          <w:color w:val="auto"/>
          <w:sz w:val="21"/>
          <w:szCs w:val="21"/>
          <w:highlight w:val="none"/>
        </w:rPr>
        <w:t>附件16.投标货物说明一览表格式</w:t>
      </w:r>
      <w:bookmarkEnd w:id="163"/>
    </w:p>
    <w:p w14:paraId="092E09E8">
      <w:pPr>
        <w:pageBreakBefore w:val="0"/>
        <w:kinsoku/>
        <w:topLinePunct w:val="0"/>
        <w:autoSpaceDE/>
        <w:autoSpaceDN/>
        <w:bidi w:val="0"/>
        <w:spacing w:line="360" w:lineRule="auto"/>
        <w:jc w:val="center"/>
        <w:rPr>
          <w:rFonts w:ascii="黑体" w:eastAsia="黑体"/>
          <w:color w:val="auto"/>
          <w:sz w:val="28"/>
          <w:szCs w:val="28"/>
          <w:highlight w:val="none"/>
        </w:rPr>
      </w:pPr>
    </w:p>
    <w:p w14:paraId="1B5ACF25">
      <w:pPr>
        <w:pageBreakBefore w:val="0"/>
        <w:kinsoku/>
        <w:topLinePunct w:val="0"/>
        <w:autoSpaceDE/>
        <w:autoSpaceDN/>
        <w:bidi w:val="0"/>
        <w:spacing w:line="360" w:lineRule="auto"/>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244"/>
        <w:gridCol w:w="1133"/>
        <w:gridCol w:w="850"/>
        <w:gridCol w:w="850"/>
        <w:gridCol w:w="850"/>
        <w:gridCol w:w="850"/>
        <w:gridCol w:w="1160"/>
        <w:gridCol w:w="914"/>
      </w:tblGrid>
      <w:tr w14:paraId="45DF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22398910">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730" w:type="pct"/>
            <w:vAlign w:val="center"/>
          </w:tcPr>
          <w:p w14:paraId="0DA77AF5">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665" w:type="pct"/>
            <w:vAlign w:val="center"/>
          </w:tcPr>
          <w:p w14:paraId="7B5AD936">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499" w:type="pct"/>
            <w:vAlign w:val="center"/>
          </w:tcPr>
          <w:p w14:paraId="58F98F3B">
            <w:pPr>
              <w:pageBreakBefore w:val="0"/>
              <w:kinsoku/>
              <w:topLinePunct w:val="0"/>
              <w:autoSpaceDE/>
              <w:autoSpaceDN/>
              <w:bidi w:val="0"/>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品牌</w:t>
            </w:r>
          </w:p>
        </w:tc>
        <w:tc>
          <w:tcPr>
            <w:tcW w:w="499" w:type="pct"/>
            <w:vAlign w:val="center"/>
          </w:tcPr>
          <w:p w14:paraId="0B85CC3C">
            <w:pPr>
              <w:pageBreakBefore w:val="0"/>
              <w:kinsoku/>
              <w:topLinePunct w:val="0"/>
              <w:autoSpaceDE/>
              <w:autoSpaceDN/>
              <w:bidi w:val="0"/>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制造商</w:t>
            </w:r>
          </w:p>
        </w:tc>
        <w:tc>
          <w:tcPr>
            <w:tcW w:w="499" w:type="pct"/>
            <w:vAlign w:val="center"/>
          </w:tcPr>
          <w:p w14:paraId="0BBCB194">
            <w:pPr>
              <w:pageBreakBefore w:val="0"/>
              <w:kinsoku/>
              <w:topLinePunct w:val="0"/>
              <w:autoSpaceDE/>
              <w:autoSpaceDN/>
              <w:bidi w:val="0"/>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产地</w:t>
            </w:r>
          </w:p>
        </w:tc>
        <w:tc>
          <w:tcPr>
            <w:tcW w:w="499" w:type="pct"/>
            <w:vAlign w:val="center"/>
          </w:tcPr>
          <w:p w14:paraId="14498E12">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681" w:type="pct"/>
            <w:vAlign w:val="center"/>
          </w:tcPr>
          <w:p w14:paraId="7CB9675F">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536" w:type="pct"/>
            <w:vAlign w:val="center"/>
          </w:tcPr>
          <w:p w14:paraId="33258ED6">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14:paraId="07FB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379A0C47">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7C8DB283">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7D932FB0">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4F49916B">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75A4B6D1">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2CC5137E">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35753A01">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5EE91C32">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587B257E">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r w14:paraId="2E08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6811B121">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34EEA39D">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18B0D407">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B07AAB6">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3623828D">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23A72825">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1B19F978">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57B3C0DF">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767CEAF5">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r w14:paraId="1E3A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07429202">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27BEA4BD">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6D25BF7A">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7D74060F">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0192A18">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4AA3F7D0">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76E6078">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4B4CB414">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32F06A19">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r w14:paraId="1232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2068B79D">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1683FFA0">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58485EA3">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0E0CF124">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550D3276">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3BE9D3F0">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1330B3E">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3B594AEE">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11F6AFAB">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r w14:paraId="6D1A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26AA28B5">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5BC5B34B">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1F44B171">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58F92402">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1C36E69">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21A3EB04">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3E201349">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3FE15AF6">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0EB014F5">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r w14:paraId="05FC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14:paraId="6D59957D">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730" w:type="pct"/>
            <w:vAlign w:val="center"/>
          </w:tcPr>
          <w:p w14:paraId="516ACC4A">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65" w:type="pct"/>
            <w:vAlign w:val="center"/>
          </w:tcPr>
          <w:p w14:paraId="29D493BF">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69499E08">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28F9D4B9">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3A549D73">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499" w:type="pct"/>
            <w:vAlign w:val="center"/>
          </w:tcPr>
          <w:p w14:paraId="29F3090E">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681" w:type="pct"/>
            <w:vAlign w:val="center"/>
          </w:tcPr>
          <w:p w14:paraId="1CB6FE3C">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c>
          <w:tcPr>
            <w:tcW w:w="536" w:type="pct"/>
            <w:vAlign w:val="center"/>
          </w:tcPr>
          <w:p w14:paraId="324F1B52">
            <w:pPr>
              <w:pageBreakBefore w:val="0"/>
              <w:kinsoku/>
              <w:topLinePunct w:val="0"/>
              <w:autoSpaceDE/>
              <w:autoSpaceDN/>
              <w:bidi w:val="0"/>
              <w:spacing w:after="0" w:line="360" w:lineRule="auto"/>
              <w:jc w:val="center"/>
              <w:rPr>
                <w:rFonts w:ascii="宋体" w:hAnsi="宋体" w:eastAsia="宋体" w:cs="Times New Roman"/>
                <w:color w:val="auto"/>
                <w:sz w:val="21"/>
                <w:szCs w:val="21"/>
                <w:highlight w:val="none"/>
              </w:rPr>
            </w:pPr>
          </w:p>
        </w:tc>
      </w:tr>
    </w:tbl>
    <w:p w14:paraId="5DA58A29">
      <w:pPr>
        <w:pageBreakBefore w:val="0"/>
        <w:kinsoku/>
        <w:topLinePunct w:val="0"/>
        <w:autoSpaceDE/>
        <w:autoSpaceDN/>
        <w:bidi w:val="0"/>
        <w:spacing w:after="0" w:line="360" w:lineRule="auto"/>
        <w:rPr>
          <w:rFonts w:ascii="宋体" w:hAnsi="宋体" w:eastAsia="宋体" w:cs="Times New Roman"/>
          <w:color w:val="auto"/>
          <w:sz w:val="21"/>
          <w:szCs w:val="21"/>
          <w:highlight w:val="none"/>
        </w:rPr>
      </w:pPr>
    </w:p>
    <w:p w14:paraId="49C97511">
      <w:pPr>
        <w:pageBreakBefore w:val="0"/>
        <w:kinsoku/>
        <w:topLinePunct w:val="0"/>
        <w:autoSpaceDE/>
        <w:autoSpaceDN/>
        <w:bidi w:val="0"/>
        <w:spacing w:line="360" w:lineRule="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14:paraId="20777A00">
      <w:pPr>
        <w:pageBreakBefore w:val="0"/>
        <w:kinsoku/>
        <w:topLinePunct w:val="0"/>
        <w:autoSpaceDE/>
        <w:autoSpaceDN/>
        <w:bidi w:val="0"/>
        <w:spacing w:line="360" w:lineRule="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14:paraId="2929CFA1">
      <w:pPr>
        <w:pageBreakBefore w:val="0"/>
        <w:kinsoku/>
        <w:topLinePunct w:val="0"/>
        <w:autoSpaceDE/>
        <w:autoSpaceDN/>
        <w:bidi w:val="0"/>
        <w:spacing w:line="360" w:lineRule="auto"/>
        <w:rPr>
          <w:rFonts w:ascii="宋体" w:hAnsi="宋体" w:eastAsia="宋体" w:cs="Times New Roman"/>
          <w:color w:val="auto"/>
          <w:sz w:val="21"/>
          <w:szCs w:val="21"/>
          <w:highlight w:val="none"/>
        </w:rPr>
      </w:pPr>
    </w:p>
    <w:p w14:paraId="5EEFF431">
      <w:pPr>
        <w:pageBreakBefore w:val="0"/>
        <w:kinsoku/>
        <w:topLinePunct w:val="0"/>
        <w:autoSpaceDE/>
        <w:autoSpaceDN/>
        <w:bidi w:val="0"/>
        <w:spacing w:line="360" w:lineRule="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36FB9DBA">
      <w:pPr>
        <w:pStyle w:val="26"/>
        <w:pageBreakBefore w:val="0"/>
        <w:kinsoku/>
        <w:topLinePunct w:val="0"/>
        <w:autoSpaceDE/>
        <w:autoSpaceDN/>
        <w:bidi w:val="0"/>
        <w:spacing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14:paraId="788AA5F7">
      <w:pPr>
        <w:pStyle w:val="26"/>
        <w:pageBreakBefore w:val="0"/>
        <w:kinsoku/>
        <w:topLinePunct w:val="0"/>
        <w:autoSpaceDE/>
        <w:autoSpaceDN/>
        <w:bidi w:val="0"/>
        <w:spacing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14:paraId="35D34AEC">
      <w:pPr>
        <w:pStyle w:val="26"/>
        <w:pageBreakBefore w:val="0"/>
        <w:kinsoku/>
        <w:topLinePunct w:val="0"/>
        <w:autoSpaceDE/>
        <w:autoSpaceDN/>
        <w:bidi w:val="0"/>
        <w:spacing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14:paraId="40C13399">
      <w:pPr>
        <w:pStyle w:val="5"/>
        <w:pageBreakBefore w:val="0"/>
        <w:widowControl w:val="0"/>
        <w:kinsoku/>
        <w:overflowPunct w:val="0"/>
        <w:topLinePunct w:val="0"/>
        <w:autoSpaceDE/>
        <w:autoSpaceDN/>
        <w:bidi w:val="0"/>
        <w:spacing w:before="0" w:after="0" w:line="360" w:lineRule="auto"/>
        <w:rPr>
          <w:rFonts w:ascii="楷体_GB2312" w:eastAsia="楷体_GB2312"/>
          <w:color w:val="auto"/>
          <w:sz w:val="24"/>
          <w:highlight w:val="none"/>
        </w:rPr>
      </w:pPr>
      <w:bookmarkStart w:id="164" w:name="_Toc22034"/>
      <w:r>
        <w:rPr>
          <w:rFonts w:hint="eastAsia" w:ascii="宋体" w:hAnsi="宋体" w:eastAsia="宋体"/>
          <w:color w:val="auto"/>
          <w:sz w:val="21"/>
          <w:szCs w:val="21"/>
          <w:highlight w:val="none"/>
        </w:rPr>
        <w:t>附件17.在经营活动中没有重大违法记录的书面声明格式</w:t>
      </w:r>
      <w:bookmarkEnd w:id="164"/>
    </w:p>
    <w:p w14:paraId="36AED803">
      <w:pPr>
        <w:pageBreakBefore w:val="0"/>
        <w:kinsoku/>
        <w:topLinePunct w:val="0"/>
        <w:autoSpaceDE/>
        <w:autoSpaceDN/>
        <w:bidi w:val="0"/>
        <w:spacing w:line="360" w:lineRule="auto"/>
        <w:rPr>
          <w:color w:val="auto"/>
          <w:highlight w:val="none"/>
        </w:rPr>
      </w:pPr>
    </w:p>
    <w:p w14:paraId="7C79858F">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投标人在经营活动中没有重大违法记录的书面声明</w:t>
      </w:r>
    </w:p>
    <w:p w14:paraId="5457B8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5F66C1B5">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三方诚信招标有限公司东莞分公司：</w:t>
      </w:r>
    </w:p>
    <w:p w14:paraId="6CDE903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14:paraId="63844B0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73475A27">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383766E3">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377B59B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40B9C2B2">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5964DD85">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3FF6D83">
      <w:pPr>
        <w:pageBreakBefore w:val="0"/>
        <w:kinsoku/>
        <w:topLinePunct w:val="0"/>
        <w:autoSpaceDE/>
        <w:autoSpaceDN/>
        <w:bidi w:val="0"/>
        <w:adjustRightInd/>
        <w:snapToGrid/>
        <w:spacing w:line="360" w:lineRule="auto"/>
        <w:rPr>
          <w:rFonts w:ascii="楷体_GB2312" w:eastAsia="楷体_GB2312" w:hAnsiTheme="majorHAnsi" w:cstheme="majorBidi"/>
          <w:b/>
          <w:bCs/>
          <w:color w:val="auto"/>
          <w:sz w:val="24"/>
          <w:szCs w:val="28"/>
          <w:highlight w:val="none"/>
        </w:rPr>
      </w:pPr>
      <w:bookmarkStart w:id="165" w:name="_Toc417907703"/>
      <w:r>
        <w:rPr>
          <w:rFonts w:ascii="楷体_GB2312" w:eastAsia="楷体_GB2312"/>
          <w:color w:val="auto"/>
          <w:sz w:val="24"/>
          <w:highlight w:val="none"/>
        </w:rPr>
        <w:br w:type="page"/>
      </w:r>
    </w:p>
    <w:bookmarkEnd w:id="165"/>
    <w:p w14:paraId="66BFD318">
      <w:pPr>
        <w:pStyle w:val="3"/>
        <w:pageBreakBefore w:val="0"/>
        <w:kinsoku/>
        <w:topLinePunct w:val="0"/>
        <w:autoSpaceDE/>
        <w:autoSpaceDN/>
        <w:bidi w:val="0"/>
        <w:spacing w:before="0" w:after="0" w:line="360" w:lineRule="auto"/>
        <w:rPr>
          <w:rFonts w:hint="eastAsia" w:ascii="宋体" w:hAnsi="宋体" w:eastAsia="宋体"/>
          <w:color w:val="auto"/>
          <w:sz w:val="21"/>
          <w:szCs w:val="21"/>
          <w:highlight w:val="none"/>
        </w:rPr>
      </w:pPr>
      <w:bookmarkStart w:id="166" w:name="_Toc21744"/>
      <w:r>
        <w:rPr>
          <w:rFonts w:hint="eastAsia"/>
          <w:color w:val="auto"/>
          <w:sz w:val="28"/>
          <w:szCs w:val="28"/>
          <w:highlight w:val="none"/>
          <w:lang w:val="en-US" w:eastAsia="zh-CN"/>
        </w:rPr>
        <w:t>第七部分 附件-开标文件格式</w:t>
      </w:r>
      <w:bookmarkEnd w:id="166"/>
    </w:p>
    <w:p w14:paraId="20692C43">
      <w:pPr>
        <w:pageBreakBefore w:val="0"/>
        <w:widowControl w:val="0"/>
        <w:kinsoku/>
        <w:overflowPunct w:val="0"/>
        <w:topLinePunct w:val="0"/>
        <w:autoSpaceDE/>
        <w:autoSpaceDN/>
        <w:bidi w:val="0"/>
        <w:spacing w:before="0" w:after="0" w:line="360" w:lineRule="auto"/>
        <w:outlineLvl w:val="9"/>
        <w:rPr>
          <w:rFonts w:hint="eastAsia" w:ascii="宋体" w:hAnsi="宋体" w:eastAsia="宋体"/>
          <w:color w:val="auto"/>
          <w:sz w:val="21"/>
          <w:szCs w:val="21"/>
          <w:highlight w:val="none"/>
        </w:rPr>
      </w:pPr>
      <w:bookmarkStart w:id="167" w:name="_Toc16536"/>
    </w:p>
    <w:p w14:paraId="7D89E705">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.开标一览表格式</w:t>
      </w:r>
      <w:bookmarkEnd w:id="167"/>
    </w:p>
    <w:p w14:paraId="08C73FD5">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rFonts w:ascii="宋体" w:hAnsi="宋体" w:eastAsia="宋体"/>
          <w:color w:val="auto"/>
          <w:sz w:val="21"/>
          <w:szCs w:val="21"/>
          <w:highlight w:val="none"/>
        </w:rPr>
      </w:pPr>
      <w:bookmarkStart w:id="168" w:name="_Toc22082"/>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.法定代表人证明书格式</w:t>
      </w:r>
      <w:bookmarkEnd w:id="168"/>
    </w:p>
    <w:p w14:paraId="3ECFEAC3">
      <w:pPr>
        <w:pStyle w:val="5"/>
        <w:keepNext/>
        <w:keepLines/>
        <w:pageBreakBefore w:val="0"/>
        <w:widowControl w:val="0"/>
        <w:kinsoku/>
        <w:wordWrap/>
        <w:overflowPunct w:val="0"/>
        <w:topLinePunct w:val="0"/>
        <w:autoSpaceDE/>
        <w:autoSpaceDN/>
        <w:bidi w:val="0"/>
        <w:adjustRightInd w:val="0"/>
        <w:snapToGrid w:val="0"/>
        <w:spacing w:before="0" w:after="0" w:line="480" w:lineRule="auto"/>
        <w:textAlignment w:val="auto"/>
        <w:rPr>
          <w:color w:val="auto"/>
          <w:highlight w:val="none"/>
        </w:rPr>
      </w:pPr>
      <w:bookmarkStart w:id="169" w:name="_Toc6287"/>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.法定代表人授权书格式</w:t>
      </w:r>
      <w:bookmarkEnd w:id="169"/>
    </w:p>
    <w:p w14:paraId="7ACED316">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sz w:val="21"/>
          <w:szCs w:val="21"/>
          <w:highlight w:val="none"/>
          <w:lang w:eastAsia="zh-CN"/>
        </w:rPr>
      </w:pPr>
      <w:bookmarkStart w:id="170" w:name="_Toc21573"/>
    </w:p>
    <w:p w14:paraId="7FF80498">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jc w:val="both"/>
        <w:textAlignment w:val="auto"/>
        <w:rPr>
          <w:rFonts w:hint="eastAsia"/>
          <w:color w:val="auto"/>
          <w:sz w:val="28"/>
          <w:szCs w:val="28"/>
          <w:highlight w:val="none"/>
          <w:lang w:val="en-US" w:eastAsia="zh-CN"/>
        </w:rPr>
      </w:pPr>
      <w:r>
        <w:rPr>
          <w:rFonts w:hint="eastAsia" w:ascii="宋体" w:hAnsi="宋体" w:eastAsia="宋体"/>
          <w:color w:val="auto"/>
          <w:sz w:val="21"/>
          <w:szCs w:val="21"/>
          <w:highlight w:val="none"/>
          <w:lang w:eastAsia="zh-CN"/>
        </w:rPr>
        <w:t>注：</w:t>
      </w:r>
      <w:r>
        <w:rPr>
          <w:rFonts w:hint="eastAsia" w:ascii="宋体" w:hAnsi="宋体" w:eastAsia="宋体"/>
          <w:color w:val="auto"/>
          <w:sz w:val="21"/>
          <w:szCs w:val="21"/>
          <w:highlight w:val="none"/>
        </w:rPr>
        <w:t>投标人应将开标一览表</w:t>
      </w:r>
      <w:r>
        <w:rPr>
          <w:rFonts w:hint="eastAsia" w:ascii="宋体" w:hAnsi="宋体" w:eastAsia="宋体"/>
          <w:color w:val="auto"/>
          <w:sz w:val="21"/>
          <w:szCs w:val="21"/>
          <w:highlight w:val="none"/>
          <w:lang w:eastAsia="zh-CN"/>
        </w:rPr>
        <w:t>、法人代表证明书、法定代表人授权书（法人投标无需提交授权书）</w:t>
      </w:r>
      <w:r>
        <w:rPr>
          <w:rFonts w:hint="eastAsia" w:ascii="宋体" w:hAnsi="宋体" w:eastAsia="宋体"/>
          <w:color w:val="auto"/>
          <w:sz w:val="21"/>
          <w:szCs w:val="21"/>
          <w:highlight w:val="none"/>
        </w:rPr>
        <w:t>单独密封提交，并在信封上标明“开标文件”字样。“开标文件”份数及签章等要求与投标文件正本相同（1份）。</w:t>
      </w:r>
    </w:p>
    <w:p w14:paraId="1AC66AA1">
      <w:pPr>
        <w:rPr>
          <w:rFonts w:hint="eastAsia"/>
          <w:color w:val="auto"/>
          <w:sz w:val="28"/>
          <w:szCs w:val="28"/>
          <w:highlight w:val="none"/>
          <w:lang w:val="en-US" w:eastAsia="zh-CN"/>
        </w:rPr>
      </w:pPr>
      <w:r>
        <w:rPr>
          <w:rFonts w:hint="eastAsia"/>
          <w:color w:val="auto"/>
          <w:sz w:val="28"/>
          <w:szCs w:val="28"/>
          <w:highlight w:val="none"/>
          <w:lang w:val="en-US" w:eastAsia="zh-CN"/>
        </w:rPr>
        <w:br w:type="page"/>
      </w:r>
    </w:p>
    <w:p w14:paraId="22353224">
      <w:pPr>
        <w:pStyle w:val="3"/>
        <w:pageBreakBefore w:val="0"/>
        <w:kinsoku/>
        <w:topLinePunct w:val="0"/>
        <w:autoSpaceDE/>
        <w:autoSpaceDN/>
        <w:bidi w:val="0"/>
        <w:spacing w:before="0" w:after="0" w:line="360" w:lineRule="auto"/>
        <w:rPr>
          <w:rFonts w:hint="eastAsia" w:ascii="宋体" w:hAnsi="宋体" w:eastAsia="宋体"/>
          <w:color w:val="auto"/>
          <w:sz w:val="21"/>
          <w:szCs w:val="21"/>
          <w:highlight w:val="none"/>
        </w:rPr>
      </w:pPr>
      <w:r>
        <w:rPr>
          <w:rFonts w:hint="eastAsia"/>
          <w:color w:val="auto"/>
          <w:sz w:val="28"/>
          <w:szCs w:val="28"/>
          <w:highlight w:val="none"/>
          <w:lang w:val="en-US" w:eastAsia="zh-CN"/>
        </w:rPr>
        <w:t>第八部分 附件-其他文件格式（如有需求）</w:t>
      </w:r>
      <w:bookmarkEnd w:id="170"/>
    </w:p>
    <w:p w14:paraId="4811AED4">
      <w:pPr>
        <w:pStyle w:val="5"/>
        <w:pageBreakBefore w:val="0"/>
        <w:widowControl w:val="0"/>
        <w:kinsoku/>
        <w:overflowPunct w:val="0"/>
        <w:topLinePunct w:val="0"/>
        <w:autoSpaceDE/>
        <w:autoSpaceDN/>
        <w:bidi w:val="0"/>
        <w:spacing w:before="0" w:after="0" w:line="360" w:lineRule="auto"/>
        <w:rPr>
          <w:rFonts w:hint="eastAsia" w:ascii="宋体" w:hAnsi="宋体" w:eastAsia="宋体"/>
          <w:color w:val="auto"/>
          <w:sz w:val="21"/>
          <w:szCs w:val="21"/>
          <w:highlight w:val="none"/>
        </w:rPr>
      </w:pPr>
      <w:bookmarkStart w:id="171" w:name="_Toc15531"/>
      <w:r>
        <w:rPr>
          <w:rFonts w:hint="eastAsia" w:ascii="宋体" w:hAnsi="宋体" w:eastAsia="宋体"/>
          <w:color w:val="auto"/>
          <w:sz w:val="21"/>
          <w:szCs w:val="21"/>
          <w:highlight w:val="none"/>
        </w:rPr>
        <w:t>附件</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 联合体共同投标协议书（可选）</w:t>
      </w:r>
      <w:bookmarkEnd w:id="171"/>
    </w:p>
    <w:p w14:paraId="4AE47B4F">
      <w:pPr>
        <w:pageBreakBefore w:val="0"/>
        <w:widowControl/>
        <w:kinsoku/>
        <w:topLinePunct w:val="0"/>
        <w:autoSpaceDE/>
        <w:autoSpaceDN/>
        <w:bidi w:val="0"/>
        <w:adjustRightInd w:val="0"/>
        <w:snapToGrid w:val="0"/>
        <w:spacing w:line="360" w:lineRule="auto"/>
        <w:jc w:val="center"/>
        <w:rPr>
          <w:rFonts w:hint="eastAsia" w:ascii="黑体" w:hAnsi="黑体" w:eastAsia="黑体" w:cs="黑体"/>
          <w:b w:val="0"/>
          <w:bCs/>
          <w:color w:val="auto"/>
          <w:kern w:val="0"/>
          <w:sz w:val="28"/>
          <w:szCs w:val="28"/>
          <w:highlight w:val="none"/>
        </w:rPr>
      </w:pPr>
      <w:r>
        <w:rPr>
          <w:rFonts w:hint="eastAsia" w:ascii="黑体" w:hAnsi="黑体" w:eastAsia="黑体" w:cs="黑体"/>
          <w:b w:val="0"/>
          <w:bCs/>
          <w:color w:val="auto"/>
          <w:kern w:val="0"/>
          <w:sz w:val="28"/>
          <w:szCs w:val="28"/>
          <w:highlight w:val="none"/>
        </w:rPr>
        <w:t>联合体共同投标协议书</w:t>
      </w:r>
    </w:p>
    <w:p w14:paraId="175C1AA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EBD5FA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56FCE2CC">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3E375A3C">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3E9720E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2843FEA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14:paraId="32565F4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5747BD2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          作为联合体的牵头单位，代表联合体双方负责投标和合同实施阶段的主办、协调工作。</w:t>
      </w:r>
    </w:p>
    <w:p w14:paraId="5202D58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联合体将严格按照文件的各项要求，递交投标文件，切实执行一切合同文件，共同承担合同规定的一切义务和责任，同时按照内部职责的划分，承担自身所负的责任和风险，在法律在承担连带责任。</w:t>
      </w:r>
    </w:p>
    <w:p w14:paraId="4FE5EF9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76233B5">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69CC433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798B185">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21A1E30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64A8A20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62B108A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份，随投标文件装订   份，送采购人   份，联合体成员各一份；副本一式   份，联合体成员各执    份。</w:t>
      </w:r>
    </w:p>
    <w:p w14:paraId="0B2669E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4452375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……公司全称（盖章）</w:t>
      </w:r>
    </w:p>
    <w:p w14:paraId="05E97DE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法定代表人：（签字或盖章） </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3E803D65">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479A7C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43E25D4C">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注：1．联合投标时需签本协议，联合体各方成员应在本协议上共同盖章确认。</w:t>
      </w:r>
    </w:p>
    <w:p w14:paraId="05F61596">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2．本协议内容不得擅自修改。此协议将作为签订合同的附件之一。</w:t>
      </w:r>
      <w:r>
        <w:rPr>
          <w:rFonts w:hint="eastAsia" w:ascii="宋体" w:hAnsi="宋体" w:eastAsia="宋体"/>
          <w:color w:val="auto"/>
          <w:sz w:val="21"/>
          <w:szCs w:val="21"/>
          <w:highlight w:val="none"/>
        </w:rPr>
        <w:br w:type="page"/>
      </w:r>
    </w:p>
    <w:p w14:paraId="2F596CAD">
      <w:pPr>
        <w:pageBreakBefore w:val="0"/>
        <w:kinsoku/>
        <w:topLinePunct w:val="0"/>
        <w:autoSpaceDE/>
        <w:autoSpaceDN/>
        <w:bidi w:val="0"/>
        <w:spacing w:after="0" w:line="360" w:lineRule="auto"/>
        <w:outlineLvl w:val="3"/>
        <w:rPr>
          <w:rFonts w:ascii="黑体" w:eastAsia="黑体"/>
          <w:color w:val="auto"/>
          <w:sz w:val="30"/>
          <w:szCs w:val="30"/>
          <w:highlight w:val="none"/>
        </w:rPr>
      </w:pPr>
      <w:bookmarkStart w:id="172" w:name="_Toc137"/>
      <w:r>
        <w:rPr>
          <w:rStyle w:val="27"/>
          <w:rFonts w:hint="eastAsia" w:ascii="宋体" w:hAnsi="宋体" w:eastAsia="宋体" w:cs="宋体"/>
          <w:color w:val="auto"/>
          <w:sz w:val="21"/>
          <w:szCs w:val="21"/>
          <w:highlight w:val="none"/>
        </w:rPr>
        <w:t>附件</w:t>
      </w:r>
      <w:r>
        <w:rPr>
          <w:rStyle w:val="27"/>
          <w:rFonts w:hint="eastAsia" w:ascii="宋体" w:hAnsi="宋体" w:eastAsia="宋体" w:cs="宋体"/>
          <w:color w:val="auto"/>
          <w:sz w:val="21"/>
          <w:szCs w:val="21"/>
          <w:highlight w:val="none"/>
          <w:lang w:val="en-US" w:eastAsia="zh-CN"/>
        </w:rPr>
        <w:t>2</w:t>
      </w:r>
      <w:r>
        <w:rPr>
          <w:rStyle w:val="27"/>
          <w:rFonts w:hint="eastAsia" w:ascii="宋体" w:hAnsi="宋体" w:eastAsia="宋体" w:cs="宋体"/>
          <w:color w:val="auto"/>
          <w:sz w:val="21"/>
          <w:szCs w:val="21"/>
          <w:highlight w:val="none"/>
        </w:rPr>
        <w:t>.履约担保函</w:t>
      </w:r>
      <w:bookmarkEnd w:id="172"/>
    </w:p>
    <w:p w14:paraId="5B9FF9EB">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履约担保函</w:t>
      </w:r>
    </w:p>
    <w:p w14:paraId="7FB3D168">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r>
        <w:rPr>
          <w:rFonts w:hint="eastAsia" w:ascii="仿宋_GB2312" w:eastAsia="仿宋_GB2312"/>
          <w:color w:val="auto"/>
          <w:sz w:val="32"/>
          <w:szCs w:val="32"/>
          <w:highlight w:val="none"/>
        </w:rPr>
        <w:t xml:space="preserve">       </w:t>
      </w:r>
    </w:p>
    <w:p w14:paraId="26627659">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14:paraId="545E80C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（以下简称供应商）于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日签定编号为   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合同》（以下简称主合同），且依据该合同的约定，供应商应在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日前向你方交纳履约保证金，且可以履约担保函的形式交纳履约保证金。应供应商的申请，我方以保证的方式向你方提供如下履约保证金担保：</w:t>
      </w:r>
    </w:p>
    <w:p w14:paraId="4C2BE7CE">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2C4ACE5">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14:paraId="2EEC683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14:paraId="129013A7">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14:paraId="6C1DC2D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2B5BCFB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26B91D">
      <w:pPr>
        <w:pageBreakBefore w:val="0"/>
        <w:kinsoku/>
        <w:topLinePunct w:val="0"/>
        <w:autoSpaceDE/>
        <w:autoSpaceDN/>
        <w:bidi w:val="0"/>
        <w:spacing w:after="0" w:line="36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r>
        <w:rPr>
          <w:rFonts w:hint="eastAsia" w:ascii="宋体" w:hAnsi="宋体" w:eastAsia="宋体" w:cs="宋体"/>
          <w:color w:val="auto"/>
          <w:sz w:val="21"/>
          <w:szCs w:val="21"/>
          <w:highlight w:val="none"/>
          <w:u w:val="single"/>
        </w:rPr>
        <w:t xml:space="preserve">  </w:t>
      </w:r>
    </w:p>
    <w:p w14:paraId="4D8A5E55">
      <w:pPr>
        <w:pageBreakBefore w:val="0"/>
        <w:kinsoku/>
        <w:topLinePunct w:val="0"/>
        <w:autoSpaceDE/>
        <w:autoSpaceDN/>
        <w:bidi w:val="0"/>
        <w:spacing w:after="0" w:line="36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。（即主合同履约保证金金额）</w:t>
      </w:r>
    </w:p>
    <w:p w14:paraId="10C9708E">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0448563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46FDEF4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78C9AB3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3A6F7C1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90B525D">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w:t>
      </w:r>
      <w:r>
        <w:rPr>
          <w:rFonts w:hint="eastAsia" w:ascii="宋体" w:hAnsi="宋体" w:eastAsia="宋体" w:cs="宋体"/>
          <w:color w:val="auto"/>
          <w:sz w:val="21"/>
          <w:szCs w:val="21"/>
          <w:highlight w:val="none"/>
          <w:lang w:eastAsia="zh-CN"/>
        </w:rPr>
        <w:t>账号</w:t>
      </w:r>
      <w:r>
        <w:rPr>
          <w:rFonts w:hint="eastAsia" w:ascii="宋体" w:hAnsi="宋体" w:eastAsia="宋体" w:cs="宋体"/>
          <w:color w:val="auto"/>
          <w:sz w:val="21"/>
          <w:szCs w:val="21"/>
          <w:highlight w:val="none"/>
        </w:rPr>
        <w:t>。并附有证明供应商违约事实的证明材料。</w:t>
      </w:r>
    </w:p>
    <w:p w14:paraId="4116F71D">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部门出具的质量检测报告，或经诉讼（仲裁）程序裁决后的裁决书、调解书，本保证人即按照检测结果或裁决书、调解书决定是否承担保证责任。</w:t>
      </w:r>
    </w:p>
    <w:p w14:paraId="77B090AE">
      <w:pPr>
        <w:pageBreakBefore w:val="0"/>
        <w:kinsoku/>
        <w:topLinePunct w:val="0"/>
        <w:autoSpaceDE/>
        <w:autoSpaceDN/>
        <w:bidi w:val="0"/>
        <w:spacing w:after="0" w:line="36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r>
        <w:rPr>
          <w:rFonts w:hint="eastAsia" w:ascii="宋体" w:hAnsi="宋体" w:eastAsia="宋体" w:cs="宋体"/>
          <w:color w:val="auto"/>
          <w:sz w:val="21"/>
          <w:szCs w:val="21"/>
          <w:highlight w:val="none"/>
          <w:u w:val="single"/>
        </w:rPr>
        <w:t xml:space="preserve">  </w:t>
      </w:r>
    </w:p>
    <w:p w14:paraId="350948E3">
      <w:pPr>
        <w:pageBreakBefore w:val="0"/>
        <w:kinsoku/>
        <w:topLinePunct w:val="0"/>
        <w:autoSpaceDE/>
        <w:autoSpaceDN/>
        <w:bidi w:val="0"/>
        <w:spacing w:after="0" w:line="36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14:paraId="22C83CB1">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6A719D6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7512B0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5EC6903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16A5CC8D">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6487BE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48923C3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14:paraId="38B310AD">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5D77429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10C89F08">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40FAC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1D7BD92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5136192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446C87B3">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360864AE">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09D8915">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0E812A40">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11B3E92">
      <w:pPr>
        <w:pageBreakBefore w:val="0"/>
        <w:kinsoku/>
        <w:topLinePunct w:val="0"/>
        <w:autoSpaceDE/>
        <w:autoSpaceDN/>
        <w:bidi w:val="0"/>
        <w:spacing w:after="0"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3C70AA45">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）此格式为履约担保函格式，无需在投标文件中提供此格式。</w:t>
      </w:r>
    </w:p>
    <w:p w14:paraId="64C0BE3E">
      <w:pPr>
        <w:pStyle w:val="7"/>
        <w:pageBreakBefore w:val="0"/>
        <w:kinsoku/>
        <w:topLinePunct w:val="0"/>
        <w:autoSpaceDE/>
        <w:autoSpaceDN/>
        <w:bidi w:val="0"/>
        <w:spacing w:line="360" w:lineRule="auto"/>
        <w:rPr>
          <w:color w:val="auto"/>
          <w:highlight w:val="none"/>
        </w:rPr>
      </w:pPr>
    </w:p>
    <w:p w14:paraId="1EE3C9C3">
      <w:pPr>
        <w:pageBreakBefore w:val="0"/>
        <w:kinsoku/>
        <w:topLinePunct w:val="0"/>
        <w:autoSpaceDE/>
        <w:autoSpaceDN/>
        <w:bidi w:val="0"/>
        <w:spacing w:line="360" w:lineRule="auto"/>
        <w:rPr>
          <w:color w:val="auto"/>
          <w:highlight w:val="none"/>
        </w:rPr>
      </w:pPr>
      <w:r>
        <w:rPr>
          <w:rFonts w:ascii="宋体" w:hAnsi="宋体" w:eastAsia="宋体" w:cs="宋体"/>
          <w:color w:val="auto"/>
          <w:sz w:val="21"/>
          <w:szCs w:val="21"/>
          <w:highlight w:val="none"/>
        </w:rPr>
        <w:br w:type="page"/>
      </w:r>
    </w:p>
    <w:p w14:paraId="37319F74">
      <w:pPr>
        <w:pStyle w:val="5"/>
        <w:pageBreakBefore w:val="0"/>
        <w:kinsoku/>
        <w:topLinePunct w:val="0"/>
        <w:autoSpaceDE/>
        <w:autoSpaceDN/>
        <w:bidi w:val="0"/>
        <w:spacing w:before="0" w:after="0" w:line="360" w:lineRule="auto"/>
        <w:rPr>
          <w:rFonts w:ascii="宋体" w:hAnsi="宋体" w:eastAsia="宋体" w:cs="宋体"/>
          <w:color w:val="auto"/>
          <w:sz w:val="21"/>
          <w:szCs w:val="21"/>
          <w:highlight w:val="none"/>
        </w:rPr>
      </w:pPr>
      <w:bookmarkStart w:id="173" w:name="_Toc8346"/>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.获取招标文件登记表</w:t>
      </w:r>
      <w:bookmarkEnd w:id="173"/>
    </w:p>
    <w:p w14:paraId="4BFE44FC">
      <w:pPr>
        <w:spacing w:after="0"/>
        <w:jc w:val="center"/>
        <w:rPr>
          <w:rFonts w:ascii="黑体" w:hAnsi="黑体" w:eastAsia="黑体" w:cs="黑体"/>
          <w:color w:val="auto"/>
          <w:sz w:val="36"/>
          <w:szCs w:val="36"/>
          <w:highlight w:val="none"/>
        </w:rPr>
      </w:pPr>
      <w:bookmarkStart w:id="174" w:name="_Toc12461"/>
      <w:r>
        <w:rPr>
          <w:rFonts w:hint="eastAsia" w:ascii="黑体" w:hAnsi="黑体" w:eastAsia="黑体" w:cs="黑体"/>
          <w:color w:val="auto"/>
          <w:sz w:val="36"/>
          <w:szCs w:val="36"/>
          <w:highlight w:val="none"/>
          <w:lang w:eastAsia="zh-CN"/>
        </w:rPr>
        <w:t>获取</w:t>
      </w:r>
      <w:r>
        <w:rPr>
          <w:rFonts w:hint="eastAsia" w:ascii="黑体" w:hAnsi="黑体" w:eastAsia="黑体" w:cs="黑体"/>
          <w:color w:val="auto"/>
          <w:sz w:val="36"/>
          <w:szCs w:val="36"/>
          <w:highlight w:val="none"/>
        </w:rPr>
        <w:t>招标文件登记表</w:t>
      </w:r>
    </w:p>
    <w:tbl>
      <w:tblPr>
        <w:tblStyle w:val="19"/>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28"/>
        <w:gridCol w:w="5892"/>
      </w:tblGrid>
      <w:tr w14:paraId="6CB12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59EFD087">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3457" w:type="pct"/>
            <w:vAlign w:val="center"/>
          </w:tcPr>
          <w:p w14:paraId="2039AE75">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rPr>
              <w:t xml:space="preserve">    月    日    时    分</w:t>
            </w:r>
          </w:p>
        </w:tc>
      </w:tr>
      <w:tr w14:paraId="5FF05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43D017A5">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3457" w:type="pct"/>
            <w:vAlign w:val="center"/>
          </w:tcPr>
          <w:p w14:paraId="57EE2995">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14:paraId="2F705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586261B1">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3457" w:type="pct"/>
            <w:vAlign w:val="center"/>
          </w:tcPr>
          <w:p w14:paraId="35D0E9E1">
            <w:pPr>
              <w:spacing w:after="0"/>
              <w:jc w:val="center"/>
              <w:rPr>
                <w:rFonts w:ascii="宋体" w:hAnsi="宋体" w:eastAsia="宋体" w:cs="宋体"/>
                <w:color w:val="auto"/>
                <w:sz w:val="32"/>
                <w:szCs w:val="32"/>
                <w:highlight w:val="none"/>
              </w:rPr>
            </w:pPr>
          </w:p>
        </w:tc>
      </w:tr>
      <w:tr w14:paraId="6ECC9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43367D9C">
            <w:pPr>
              <w:spacing w:after="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项目包号</w:t>
            </w:r>
          </w:p>
        </w:tc>
        <w:tc>
          <w:tcPr>
            <w:tcW w:w="3457" w:type="pct"/>
            <w:vAlign w:val="center"/>
          </w:tcPr>
          <w:p w14:paraId="79E55694">
            <w:pPr>
              <w:spacing w:after="0"/>
              <w:jc w:val="center"/>
              <w:rPr>
                <w:rFonts w:ascii="宋体" w:hAnsi="宋体" w:eastAsia="宋体" w:cs="宋体"/>
                <w:color w:val="auto"/>
                <w:sz w:val="32"/>
                <w:szCs w:val="32"/>
                <w:highlight w:val="none"/>
              </w:rPr>
            </w:pPr>
          </w:p>
        </w:tc>
      </w:tr>
      <w:tr w14:paraId="7AFFB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7BD556FE">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3457" w:type="pct"/>
            <w:vAlign w:val="center"/>
          </w:tcPr>
          <w:p w14:paraId="408BEDA8">
            <w:pPr>
              <w:spacing w:after="0"/>
              <w:jc w:val="center"/>
              <w:rPr>
                <w:rFonts w:ascii="宋体" w:hAnsi="宋体" w:eastAsia="宋体" w:cs="宋体"/>
                <w:color w:val="auto"/>
                <w:sz w:val="32"/>
                <w:szCs w:val="32"/>
                <w:highlight w:val="none"/>
              </w:rPr>
            </w:pPr>
          </w:p>
        </w:tc>
      </w:tr>
      <w:tr w14:paraId="2B4B5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78C84A63">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3457" w:type="pct"/>
            <w:vAlign w:val="center"/>
          </w:tcPr>
          <w:p w14:paraId="307326D6">
            <w:pPr>
              <w:spacing w:after="0"/>
              <w:jc w:val="center"/>
              <w:rPr>
                <w:rFonts w:ascii="宋体" w:hAnsi="宋体" w:eastAsia="宋体" w:cs="宋体"/>
                <w:color w:val="auto"/>
                <w:sz w:val="32"/>
                <w:szCs w:val="32"/>
                <w:highlight w:val="none"/>
              </w:rPr>
            </w:pPr>
          </w:p>
        </w:tc>
      </w:tr>
      <w:tr w14:paraId="3ABEC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2A117105">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3457" w:type="pct"/>
            <w:vAlign w:val="center"/>
          </w:tcPr>
          <w:p w14:paraId="26AD51E4">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drawing>
                <wp:anchor distT="0" distB="0" distL="114300" distR="114300" simplePos="0" relativeHeight="251659264"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504950" cy="1409700"/>
                          </a:xfrm>
                          <a:prstGeom prst="rect">
                            <a:avLst/>
                          </a:prstGeom>
                          <a:noFill/>
                          <a:ln>
                            <a:noFill/>
                          </a:ln>
                        </pic:spPr>
                      </pic:pic>
                    </a:graphicData>
                  </a:graphic>
                </wp:anchor>
              </w:drawing>
            </w:r>
          </w:p>
        </w:tc>
      </w:tr>
      <w:tr w14:paraId="0C133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05CD5086">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3457" w:type="pct"/>
            <w:vAlign w:val="center"/>
          </w:tcPr>
          <w:p w14:paraId="0ECA0BA0">
            <w:pPr>
              <w:spacing w:after="0"/>
              <w:jc w:val="center"/>
              <w:rPr>
                <w:rFonts w:ascii="宋体" w:hAnsi="宋体" w:eastAsia="宋体" w:cs="宋体"/>
                <w:color w:val="auto"/>
                <w:sz w:val="32"/>
                <w:szCs w:val="32"/>
                <w:highlight w:val="none"/>
              </w:rPr>
            </w:pPr>
          </w:p>
        </w:tc>
      </w:tr>
      <w:tr w14:paraId="66313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199300D1">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3457" w:type="pct"/>
            <w:vAlign w:val="center"/>
          </w:tcPr>
          <w:p w14:paraId="698793DB">
            <w:pPr>
              <w:spacing w:after="0"/>
              <w:jc w:val="center"/>
              <w:rPr>
                <w:rFonts w:ascii="宋体" w:hAnsi="宋体" w:eastAsia="宋体" w:cs="宋体"/>
                <w:color w:val="auto"/>
                <w:sz w:val="32"/>
                <w:szCs w:val="32"/>
                <w:highlight w:val="none"/>
              </w:rPr>
            </w:pPr>
          </w:p>
        </w:tc>
      </w:tr>
      <w:tr w14:paraId="4FD4D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504E8F5D">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3457" w:type="pct"/>
            <w:vAlign w:val="center"/>
          </w:tcPr>
          <w:p w14:paraId="2A5E8CBD">
            <w:pPr>
              <w:spacing w:after="0"/>
              <w:jc w:val="center"/>
              <w:rPr>
                <w:rFonts w:ascii="宋体" w:hAnsi="宋体" w:eastAsia="宋体" w:cs="宋体"/>
                <w:color w:val="auto"/>
                <w:sz w:val="32"/>
                <w:szCs w:val="32"/>
                <w:highlight w:val="none"/>
              </w:rPr>
            </w:pPr>
          </w:p>
        </w:tc>
      </w:tr>
      <w:tr w14:paraId="56486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7DBA259B">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3457" w:type="pct"/>
            <w:vAlign w:val="center"/>
          </w:tcPr>
          <w:p w14:paraId="61B03D4B">
            <w:pPr>
              <w:spacing w:after="0"/>
              <w:jc w:val="center"/>
              <w:rPr>
                <w:rFonts w:ascii="宋体" w:hAnsi="宋体" w:eastAsia="宋体" w:cs="宋体"/>
                <w:color w:val="auto"/>
                <w:sz w:val="32"/>
                <w:szCs w:val="32"/>
                <w:highlight w:val="none"/>
              </w:rPr>
            </w:pPr>
          </w:p>
        </w:tc>
      </w:tr>
      <w:tr w14:paraId="60702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1542" w:type="pct"/>
            <w:vAlign w:val="center"/>
          </w:tcPr>
          <w:p w14:paraId="0EA7EB29">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3457" w:type="pct"/>
            <w:vAlign w:val="center"/>
          </w:tcPr>
          <w:p w14:paraId="18DAD18D">
            <w:pPr>
              <w:spacing w:after="0"/>
              <w:jc w:val="center"/>
              <w:rPr>
                <w:rFonts w:ascii="宋体" w:hAnsi="宋体" w:eastAsia="宋体" w:cs="宋体"/>
                <w:color w:val="auto"/>
                <w:sz w:val="32"/>
                <w:szCs w:val="32"/>
                <w:highlight w:val="none"/>
              </w:rPr>
            </w:pPr>
          </w:p>
        </w:tc>
      </w:tr>
      <w:tr w14:paraId="73A34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78B097B9">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3457" w:type="pct"/>
            <w:vAlign w:val="center"/>
          </w:tcPr>
          <w:p w14:paraId="1E69612C">
            <w:pPr>
              <w:spacing w:after="0"/>
              <w:jc w:val="center"/>
              <w:rPr>
                <w:rFonts w:ascii="宋体" w:hAnsi="宋体" w:eastAsia="宋体" w:cs="宋体"/>
                <w:color w:val="auto"/>
                <w:sz w:val="32"/>
                <w:szCs w:val="32"/>
                <w:highlight w:val="none"/>
              </w:rPr>
            </w:pPr>
          </w:p>
        </w:tc>
      </w:tr>
      <w:tr w14:paraId="0A024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67B6C975">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3457" w:type="pct"/>
            <w:vAlign w:val="center"/>
          </w:tcPr>
          <w:p w14:paraId="1ADA4915">
            <w:pPr>
              <w:spacing w:after="0"/>
              <w:jc w:val="center"/>
              <w:rPr>
                <w:rFonts w:ascii="宋体" w:hAnsi="宋体" w:eastAsia="宋体" w:cs="宋体"/>
                <w:color w:val="auto"/>
                <w:sz w:val="32"/>
                <w:szCs w:val="32"/>
                <w:highlight w:val="none"/>
              </w:rPr>
            </w:pPr>
          </w:p>
        </w:tc>
      </w:tr>
      <w:tr w14:paraId="2AF44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542" w:type="pct"/>
            <w:vAlign w:val="center"/>
          </w:tcPr>
          <w:p w14:paraId="67A06A73">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3457" w:type="pct"/>
            <w:vAlign w:val="center"/>
          </w:tcPr>
          <w:p w14:paraId="70818DA2">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w:t>
            </w:r>
            <w:r>
              <w:rPr>
                <w:rFonts w:hint="eastAsia" w:ascii="宋体" w:hAnsi="宋体" w:eastAsia="宋体" w:cs="宋体"/>
                <w:color w:val="auto"/>
                <w:sz w:val="32"/>
                <w:szCs w:val="32"/>
                <w:highlight w:val="none"/>
                <w:lang w:eastAsia="zh-CN"/>
              </w:rPr>
              <w:t>300元</w:t>
            </w:r>
            <w:r>
              <w:rPr>
                <w:rFonts w:hint="eastAsia" w:ascii="宋体" w:hAnsi="宋体" w:eastAsia="宋体" w:cs="宋体"/>
                <w:color w:val="auto"/>
                <w:sz w:val="32"/>
                <w:szCs w:val="32"/>
                <w:highlight w:val="none"/>
              </w:rPr>
              <w:t>/份</w:t>
            </w:r>
          </w:p>
        </w:tc>
      </w:tr>
      <w:tr w14:paraId="5EE6B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000" w:type="pct"/>
            <w:gridSpan w:val="2"/>
            <w:vAlign w:val="center"/>
          </w:tcPr>
          <w:p w14:paraId="04BA2EB3">
            <w:pPr>
              <w:spacing w:after="0"/>
              <w:jc w:val="center"/>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注：开完发票后请把报名表格交还至前台</w:t>
            </w:r>
          </w:p>
        </w:tc>
      </w:tr>
      <w:bookmarkEnd w:id="174"/>
    </w:tbl>
    <w:p w14:paraId="0B9D7414">
      <w:pPr>
        <w:rPr>
          <w:rFonts w:hint="default"/>
          <w:color w:val="auto"/>
          <w:highlight w:val="none"/>
          <w:lang w:val="en-US" w:eastAsia="zh-CN"/>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1C0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9D884D">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14:paraId="6F9D884D">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765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711A036">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fldChar w:fldCharType="separate"/>
                          </w:r>
                          <w:r>
                            <w:rPr>
                              <w:rFonts w:hint="eastAsia"/>
                              <w:lang w:val="en-US" w:eastAsia="zh-CN"/>
                            </w:rPr>
                            <w:instrText xml:space="preserve">71</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14:paraId="2711A036">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instrText xml:space="preserve"> NUMPAGES  \* MERGEFORMAT </w:instrText>
                    </w:r>
                    <w:r>
                      <w:rPr>
                        <w:rFonts w:hint="eastAsia"/>
                        <w:lang w:val="en-US" w:eastAsia="zh-CN"/>
                      </w:rPr>
                      <w:fldChar w:fldCharType="separate"/>
                    </w:r>
                    <w:r>
                      <w:rPr>
                        <w:rFonts w:hint="eastAsia"/>
                        <w:lang w:val="en-US" w:eastAsia="zh-CN"/>
                      </w:rPr>
                      <w:instrText xml:space="preserve">71</w:instrText>
                    </w:r>
                    <w:r>
                      <w:rPr>
                        <w:rFonts w:hint="eastAsia"/>
                        <w:lang w:val="en-US" w:eastAsia="zh-CN"/>
                      </w:rPr>
                      <w:fldChar w:fldCharType="end"/>
                    </w:r>
                    <w:r>
                      <w:rPr>
                        <w:rFonts w:hint="eastAsia"/>
                        <w:lang w:val="en-US" w:eastAsia="zh-CN"/>
                      </w:rPr>
                      <w:instrText xml:space="preserve">-1</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548B">
    <w:pPr>
      <w:pStyle w:val="11"/>
      <w:jc w:val="left"/>
      <w:rPr>
        <w:rFonts w:hint="eastAsia" w:eastAsia="微软雅黑"/>
        <w:lang w:eastAsia="zh-CN"/>
      </w:rPr>
    </w:pPr>
    <w:r>
      <w:rPr>
        <w:rFonts w:hint="eastAsia"/>
        <w:lang w:eastAsia="zh-CN"/>
      </w:rPr>
      <w:t>国内采购公开招标文件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3126E"/>
    <w:multiLevelType w:val="singleLevel"/>
    <w:tmpl w:val="8D63126E"/>
    <w:lvl w:ilvl="0" w:tentative="0">
      <w:start w:val="5"/>
      <w:numFmt w:val="chineseCounting"/>
      <w:suff w:val="space"/>
      <w:lvlText w:val="第%1部分"/>
      <w:lvlJc w:val="left"/>
      <w:rPr>
        <w:rFonts w:hint="eastAsia"/>
      </w:rPr>
    </w:lvl>
  </w:abstractNum>
  <w:abstractNum w:abstractNumId="1">
    <w:nsid w:val="93587489"/>
    <w:multiLevelType w:val="singleLevel"/>
    <w:tmpl w:val="93587489"/>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2D125156"/>
    <w:multiLevelType w:val="singleLevel"/>
    <w:tmpl w:val="2D125156"/>
    <w:lvl w:ilvl="0" w:tentative="0">
      <w:start w:val="2"/>
      <w:numFmt w:val="chineseCounting"/>
      <w:suff w:val="nothing"/>
      <w:lvlText w:val="%1、"/>
      <w:lvlJc w:val="left"/>
      <w:rPr>
        <w:rFonts w:hint="eastAsia"/>
      </w:rPr>
    </w:lvl>
  </w:abstractNum>
  <w:abstractNum w:abstractNumId="8">
    <w:nsid w:val="3F88662E"/>
    <w:multiLevelType w:val="singleLevel"/>
    <w:tmpl w:val="3F88662E"/>
    <w:lvl w:ilvl="0" w:tentative="0">
      <w:start w:val="1"/>
      <w:numFmt w:val="decimal"/>
      <w:suff w:val="space"/>
      <w:lvlText w:val="%1)"/>
      <w:lvlJc w:val="left"/>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8"/>
  </w:num>
  <w:num w:numId="4">
    <w:abstractNumId w:val="6"/>
  </w:num>
  <w:num w:numId="5">
    <w:abstractNumId w:val="4"/>
  </w:num>
  <w:num w:numId="6">
    <w:abstractNumId w:val="0"/>
  </w:num>
  <w:num w:numId="7">
    <w:abstractNumId w:val="2"/>
  </w:num>
  <w:num w:numId="8">
    <w:abstractNumId w:val="5"/>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kZGMxMDkyNjQ5NTkzOTgyYjBmMjI5NGM0NGU3ZjcifQ=="/>
  </w:docVars>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91E"/>
    <w:rsid w:val="006B7878"/>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8F79E1"/>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3195"/>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4A197B"/>
    <w:rsid w:val="018023CE"/>
    <w:rsid w:val="01881AD6"/>
    <w:rsid w:val="018D66D3"/>
    <w:rsid w:val="01B938AA"/>
    <w:rsid w:val="02126CDB"/>
    <w:rsid w:val="021832B7"/>
    <w:rsid w:val="0249299B"/>
    <w:rsid w:val="024C279F"/>
    <w:rsid w:val="024E2E49"/>
    <w:rsid w:val="02533F0F"/>
    <w:rsid w:val="02A741FD"/>
    <w:rsid w:val="02B5367C"/>
    <w:rsid w:val="02C16E5D"/>
    <w:rsid w:val="02D964CF"/>
    <w:rsid w:val="031C3562"/>
    <w:rsid w:val="03707410"/>
    <w:rsid w:val="037F03E3"/>
    <w:rsid w:val="0385459C"/>
    <w:rsid w:val="03A0770F"/>
    <w:rsid w:val="03A27BF9"/>
    <w:rsid w:val="03A448B8"/>
    <w:rsid w:val="03AD071E"/>
    <w:rsid w:val="03ED6304"/>
    <w:rsid w:val="044A6E71"/>
    <w:rsid w:val="04852899"/>
    <w:rsid w:val="04DF1036"/>
    <w:rsid w:val="05A97DEC"/>
    <w:rsid w:val="05C81981"/>
    <w:rsid w:val="05DB66F5"/>
    <w:rsid w:val="05FD3AF6"/>
    <w:rsid w:val="065D535C"/>
    <w:rsid w:val="06BC41F2"/>
    <w:rsid w:val="07197D08"/>
    <w:rsid w:val="071C2CFD"/>
    <w:rsid w:val="071E5C55"/>
    <w:rsid w:val="073F7319"/>
    <w:rsid w:val="07595F41"/>
    <w:rsid w:val="07615EC0"/>
    <w:rsid w:val="077005AB"/>
    <w:rsid w:val="078F4581"/>
    <w:rsid w:val="07995C5E"/>
    <w:rsid w:val="07BE179A"/>
    <w:rsid w:val="07BF027F"/>
    <w:rsid w:val="08031A31"/>
    <w:rsid w:val="081A5CC7"/>
    <w:rsid w:val="084A4C53"/>
    <w:rsid w:val="08850B9A"/>
    <w:rsid w:val="08A276E5"/>
    <w:rsid w:val="08D613F6"/>
    <w:rsid w:val="09061A75"/>
    <w:rsid w:val="09182241"/>
    <w:rsid w:val="092C5DD8"/>
    <w:rsid w:val="093C069F"/>
    <w:rsid w:val="09855177"/>
    <w:rsid w:val="09D05E45"/>
    <w:rsid w:val="09F1637C"/>
    <w:rsid w:val="0A25628F"/>
    <w:rsid w:val="0AA534D5"/>
    <w:rsid w:val="0AA650EB"/>
    <w:rsid w:val="0AB8066A"/>
    <w:rsid w:val="0ACF69F0"/>
    <w:rsid w:val="0AF47339"/>
    <w:rsid w:val="0B22594B"/>
    <w:rsid w:val="0BC044BE"/>
    <w:rsid w:val="0BDF26F7"/>
    <w:rsid w:val="0C253327"/>
    <w:rsid w:val="0C264099"/>
    <w:rsid w:val="0C2B4952"/>
    <w:rsid w:val="0C2F7743"/>
    <w:rsid w:val="0C520830"/>
    <w:rsid w:val="0C7B2220"/>
    <w:rsid w:val="0CBE36E5"/>
    <w:rsid w:val="0CEE31B2"/>
    <w:rsid w:val="0D890E47"/>
    <w:rsid w:val="0DAC6867"/>
    <w:rsid w:val="0DC64A00"/>
    <w:rsid w:val="0DFC60BA"/>
    <w:rsid w:val="0E4249F1"/>
    <w:rsid w:val="0EA21BDD"/>
    <w:rsid w:val="0F615AC3"/>
    <w:rsid w:val="0F696B20"/>
    <w:rsid w:val="0F7C5FF6"/>
    <w:rsid w:val="0FC16490"/>
    <w:rsid w:val="0FC63FBD"/>
    <w:rsid w:val="10204A5C"/>
    <w:rsid w:val="106C564D"/>
    <w:rsid w:val="107B7B8F"/>
    <w:rsid w:val="107C67CE"/>
    <w:rsid w:val="10924ABA"/>
    <w:rsid w:val="109D68CB"/>
    <w:rsid w:val="10A949B8"/>
    <w:rsid w:val="11200D07"/>
    <w:rsid w:val="11360F47"/>
    <w:rsid w:val="11D43C13"/>
    <w:rsid w:val="11D93B25"/>
    <w:rsid w:val="11DA73AF"/>
    <w:rsid w:val="12C60D80"/>
    <w:rsid w:val="12FE11BE"/>
    <w:rsid w:val="131F7A3A"/>
    <w:rsid w:val="132645D0"/>
    <w:rsid w:val="132E28A8"/>
    <w:rsid w:val="13364603"/>
    <w:rsid w:val="13455ABC"/>
    <w:rsid w:val="1370322B"/>
    <w:rsid w:val="13B27845"/>
    <w:rsid w:val="141A03E1"/>
    <w:rsid w:val="143B2E0B"/>
    <w:rsid w:val="14435ECB"/>
    <w:rsid w:val="14672B11"/>
    <w:rsid w:val="14892735"/>
    <w:rsid w:val="14CC769D"/>
    <w:rsid w:val="14CF4234"/>
    <w:rsid w:val="155913E5"/>
    <w:rsid w:val="15BA031B"/>
    <w:rsid w:val="15D359D7"/>
    <w:rsid w:val="15D81E0F"/>
    <w:rsid w:val="163C77BE"/>
    <w:rsid w:val="167352A7"/>
    <w:rsid w:val="1679588C"/>
    <w:rsid w:val="16994962"/>
    <w:rsid w:val="16A71041"/>
    <w:rsid w:val="16AA24BF"/>
    <w:rsid w:val="16F72341"/>
    <w:rsid w:val="17247020"/>
    <w:rsid w:val="17680CAB"/>
    <w:rsid w:val="176E4128"/>
    <w:rsid w:val="1774471D"/>
    <w:rsid w:val="1783371F"/>
    <w:rsid w:val="17A86834"/>
    <w:rsid w:val="17E62B67"/>
    <w:rsid w:val="180F4499"/>
    <w:rsid w:val="18174E28"/>
    <w:rsid w:val="18221ECE"/>
    <w:rsid w:val="188D7D23"/>
    <w:rsid w:val="18D55E7B"/>
    <w:rsid w:val="19A2789F"/>
    <w:rsid w:val="19C937D2"/>
    <w:rsid w:val="19FE255B"/>
    <w:rsid w:val="1A3D7527"/>
    <w:rsid w:val="1A460CF5"/>
    <w:rsid w:val="1A7F297D"/>
    <w:rsid w:val="1A8C7D5A"/>
    <w:rsid w:val="1AB16AC1"/>
    <w:rsid w:val="1AF16E9A"/>
    <w:rsid w:val="1B034A52"/>
    <w:rsid w:val="1B1F34AD"/>
    <w:rsid w:val="1B8D5DC6"/>
    <w:rsid w:val="1B9C027D"/>
    <w:rsid w:val="1C2775EC"/>
    <w:rsid w:val="1C750ECE"/>
    <w:rsid w:val="1D0836D7"/>
    <w:rsid w:val="1D196139"/>
    <w:rsid w:val="1D5A03F0"/>
    <w:rsid w:val="1D980110"/>
    <w:rsid w:val="1DB85900"/>
    <w:rsid w:val="1E010AF7"/>
    <w:rsid w:val="1E0178EB"/>
    <w:rsid w:val="1E301173"/>
    <w:rsid w:val="1E6E7FF5"/>
    <w:rsid w:val="1E7052F1"/>
    <w:rsid w:val="1EA40BB4"/>
    <w:rsid w:val="1F43381C"/>
    <w:rsid w:val="1FA4148D"/>
    <w:rsid w:val="1FD168BE"/>
    <w:rsid w:val="1FD37809"/>
    <w:rsid w:val="20121621"/>
    <w:rsid w:val="201A421D"/>
    <w:rsid w:val="204E554F"/>
    <w:rsid w:val="205475FA"/>
    <w:rsid w:val="20590035"/>
    <w:rsid w:val="20880DD0"/>
    <w:rsid w:val="20B473ED"/>
    <w:rsid w:val="20FC799E"/>
    <w:rsid w:val="22154DDD"/>
    <w:rsid w:val="22213E42"/>
    <w:rsid w:val="22336873"/>
    <w:rsid w:val="22622A86"/>
    <w:rsid w:val="238C2182"/>
    <w:rsid w:val="239015D1"/>
    <w:rsid w:val="23BB4E7D"/>
    <w:rsid w:val="23C172D6"/>
    <w:rsid w:val="23F04F64"/>
    <w:rsid w:val="241B0EE7"/>
    <w:rsid w:val="24333877"/>
    <w:rsid w:val="24814CBE"/>
    <w:rsid w:val="24AC168B"/>
    <w:rsid w:val="258C3BEC"/>
    <w:rsid w:val="260E3862"/>
    <w:rsid w:val="262569FC"/>
    <w:rsid w:val="26344C98"/>
    <w:rsid w:val="26A26926"/>
    <w:rsid w:val="26F47E27"/>
    <w:rsid w:val="26F56CE2"/>
    <w:rsid w:val="27A34F71"/>
    <w:rsid w:val="27B36A67"/>
    <w:rsid w:val="27EB0D9B"/>
    <w:rsid w:val="282536B2"/>
    <w:rsid w:val="285D5CFF"/>
    <w:rsid w:val="286602C8"/>
    <w:rsid w:val="28665C95"/>
    <w:rsid w:val="28B5297E"/>
    <w:rsid w:val="28BD3BFB"/>
    <w:rsid w:val="28D218CE"/>
    <w:rsid w:val="290B3EB9"/>
    <w:rsid w:val="291418C2"/>
    <w:rsid w:val="292F7F60"/>
    <w:rsid w:val="2938789E"/>
    <w:rsid w:val="2950768C"/>
    <w:rsid w:val="297A5FC4"/>
    <w:rsid w:val="2A1113BC"/>
    <w:rsid w:val="2A810FBB"/>
    <w:rsid w:val="2A8D4F8F"/>
    <w:rsid w:val="2A911082"/>
    <w:rsid w:val="2A917B34"/>
    <w:rsid w:val="2AE3766F"/>
    <w:rsid w:val="2B7E4054"/>
    <w:rsid w:val="2BF22742"/>
    <w:rsid w:val="2C987C56"/>
    <w:rsid w:val="2C9B617E"/>
    <w:rsid w:val="2C9F690E"/>
    <w:rsid w:val="2CF0371A"/>
    <w:rsid w:val="2CFF149A"/>
    <w:rsid w:val="2D201865"/>
    <w:rsid w:val="2D4B5CEA"/>
    <w:rsid w:val="2D505AA8"/>
    <w:rsid w:val="2D652658"/>
    <w:rsid w:val="2DC80C49"/>
    <w:rsid w:val="2DCA6355"/>
    <w:rsid w:val="2DF0699F"/>
    <w:rsid w:val="2E166748"/>
    <w:rsid w:val="2E556F01"/>
    <w:rsid w:val="2E8E20B4"/>
    <w:rsid w:val="2E9128E7"/>
    <w:rsid w:val="2EA81D8B"/>
    <w:rsid w:val="2EC23FA9"/>
    <w:rsid w:val="2ED06066"/>
    <w:rsid w:val="2ED1223D"/>
    <w:rsid w:val="2EE470F7"/>
    <w:rsid w:val="2F000139"/>
    <w:rsid w:val="2F2A73BE"/>
    <w:rsid w:val="2F3B658D"/>
    <w:rsid w:val="2F561B8A"/>
    <w:rsid w:val="2F886105"/>
    <w:rsid w:val="2F9F42DC"/>
    <w:rsid w:val="2FA620C1"/>
    <w:rsid w:val="2FF37AB3"/>
    <w:rsid w:val="30234671"/>
    <w:rsid w:val="30306B78"/>
    <w:rsid w:val="30D616E4"/>
    <w:rsid w:val="30FF27D2"/>
    <w:rsid w:val="31170995"/>
    <w:rsid w:val="31240628"/>
    <w:rsid w:val="31264A30"/>
    <w:rsid w:val="31884E67"/>
    <w:rsid w:val="31A0275E"/>
    <w:rsid w:val="31C355D4"/>
    <w:rsid w:val="31ED6B08"/>
    <w:rsid w:val="323E39E4"/>
    <w:rsid w:val="3245309D"/>
    <w:rsid w:val="328464CE"/>
    <w:rsid w:val="32AB70C5"/>
    <w:rsid w:val="32DC33E0"/>
    <w:rsid w:val="32FD5BB6"/>
    <w:rsid w:val="331F0BD0"/>
    <w:rsid w:val="335D0AF5"/>
    <w:rsid w:val="3370088C"/>
    <w:rsid w:val="33A3154A"/>
    <w:rsid w:val="33A9683E"/>
    <w:rsid w:val="33D323C2"/>
    <w:rsid w:val="33DC2F78"/>
    <w:rsid w:val="3428227C"/>
    <w:rsid w:val="34452DC0"/>
    <w:rsid w:val="345408E4"/>
    <w:rsid w:val="35260F83"/>
    <w:rsid w:val="35383FD8"/>
    <w:rsid w:val="35602226"/>
    <w:rsid w:val="356B72E7"/>
    <w:rsid w:val="3572424F"/>
    <w:rsid w:val="35862F35"/>
    <w:rsid w:val="35DE3E0E"/>
    <w:rsid w:val="35FC3844"/>
    <w:rsid w:val="35FF0BB5"/>
    <w:rsid w:val="36A85654"/>
    <w:rsid w:val="36AD519D"/>
    <w:rsid w:val="36B57705"/>
    <w:rsid w:val="36C65B9E"/>
    <w:rsid w:val="36C95F72"/>
    <w:rsid w:val="370838C8"/>
    <w:rsid w:val="37A103ED"/>
    <w:rsid w:val="37A15FDF"/>
    <w:rsid w:val="37EA5E6E"/>
    <w:rsid w:val="37FF016F"/>
    <w:rsid w:val="38223A66"/>
    <w:rsid w:val="38427C0B"/>
    <w:rsid w:val="386F6AB4"/>
    <w:rsid w:val="387C5ABE"/>
    <w:rsid w:val="389B3A1E"/>
    <w:rsid w:val="38BC039E"/>
    <w:rsid w:val="38E93452"/>
    <w:rsid w:val="38EB6119"/>
    <w:rsid w:val="39FE0BE9"/>
    <w:rsid w:val="3A3C1AAF"/>
    <w:rsid w:val="3A51228C"/>
    <w:rsid w:val="3A552E60"/>
    <w:rsid w:val="3A5D642F"/>
    <w:rsid w:val="3A75574D"/>
    <w:rsid w:val="3A76114A"/>
    <w:rsid w:val="3A777A93"/>
    <w:rsid w:val="3AB210FC"/>
    <w:rsid w:val="3AC27689"/>
    <w:rsid w:val="3AD95C13"/>
    <w:rsid w:val="3B261E51"/>
    <w:rsid w:val="3BCD72F7"/>
    <w:rsid w:val="3BE9317E"/>
    <w:rsid w:val="3C3C047F"/>
    <w:rsid w:val="3C414142"/>
    <w:rsid w:val="3CF737A2"/>
    <w:rsid w:val="3D10295A"/>
    <w:rsid w:val="3D392227"/>
    <w:rsid w:val="3D736514"/>
    <w:rsid w:val="3D7A5142"/>
    <w:rsid w:val="3DD43E73"/>
    <w:rsid w:val="3E0572FD"/>
    <w:rsid w:val="3E1A5292"/>
    <w:rsid w:val="3E1D6CCB"/>
    <w:rsid w:val="3E5A7FE7"/>
    <w:rsid w:val="3EC8179E"/>
    <w:rsid w:val="3ED90D1D"/>
    <w:rsid w:val="3EF66B2E"/>
    <w:rsid w:val="3F217914"/>
    <w:rsid w:val="3F521E8F"/>
    <w:rsid w:val="3FD70BB0"/>
    <w:rsid w:val="3FFB55AC"/>
    <w:rsid w:val="401C5F9D"/>
    <w:rsid w:val="401C690C"/>
    <w:rsid w:val="401D7195"/>
    <w:rsid w:val="403A4629"/>
    <w:rsid w:val="40CA767F"/>
    <w:rsid w:val="40CB02B8"/>
    <w:rsid w:val="40CE3DC0"/>
    <w:rsid w:val="40D7455A"/>
    <w:rsid w:val="40E743E5"/>
    <w:rsid w:val="4110038E"/>
    <w:rsid w:val="41734CBA"/>
    <w:rsid w:val="417C3414"/>
    <w:rsid w:val="41DD7057"/>
    <w:rsid w:val="41FE3FEA"/>
    <w:rsid w:val="420F7A65"/>
    <w:rsid w:val="4216611A"/>
    <w:rsid w:val="423E300F"/>
    <w:rsid w:val="425656C8"/>
    <w:rsid w:val="4257273C"/>
    <w:rsid w:val="425D7213"/>
    <w:rsid w:val="42677B61"/>
    <w:rsid w:val="42756DB0"/>
    <w:rsid w:val="42B21AD2"/>
    <w:rsid w:val="42FD694D"/>
    <w:rsid w:val="43FA5777"/>
    <w:rsid w:val="44044D92"/>
    <w:rsid w:val="441C1611"/>
    <w:rsid w:val="443C2E56"/>
    <w:rsid w:val="443C440B"/>
    <w:rsid w:val="443F7DBF"/>
    <w:rsid w:val="44514F52"/>
    <w:rsid w:val="44867251"/>
    <w:rsid w:val="448965CB"/>
    <w:rsid w:val="44FA2D53"/>
    <w:rsid w:val="45561B36"/>
    <w:rsid w:val="4571374F"/>
    <w:rsid w:val="458B1BB0"/>
    <w:rsid w:val="45E5269D"/>
    <w:rsid w:val="4611075B"/>
    <w:rsid w:val="46214818"/>
    <w:rsid w:val="463A279D"/>
    <w:rsid w:val="467A0297"/>
    <w:rsid w:val="468B7125"/>
    <w:rsid w:val="46C4691F"/>
    <w:rsid w:val="46E1045D"/>
    <w:rsid w:val="477C0DDF"/>
    <w:rsid w:val="479D1D34"/>
    <w:rsid w:val="47B609C0"/>
    <w:rsid w:val="47C307BC"/>
    <w:rsid w:val="47E0311C"/>
    <w:rsid w:val="47F22E4F"/>
    <w:rsid w:val="480A798E"/>
    <w:rsid w:val="482D31EA"/>
    <w:rsid w:val="484E375C"/>
    <w:rsid w:val="485970A0"/>
    <w:rsid w:val="48A41906"/>
    <w:rsid w:val="48B011CE"/>
    <w:rsid w:val="48B0738C"/>
    <w:rsid w:val="48B44984"/>
    <w:rsid w:val="48B65C71"/>
    <w:rsid w:val="48F303D7"/>
    <w:rsid w:val="492837FF"/>
    <w:rsid w:val="492E6A57"/>
    <w:rsid w:val="4A0030EE"/>
    <w:rsid w:val="4A233069"/>
    <w:rsid w:val="4A4B611A"/>
    <w:rsid w:val="4A553F2B"/>
    <w:rsid w:val="4AC36065"/>
    <w:rsid w:val="4B0E36E4"/>
    <w:rsid w:val="4B7501F5"/>
    <w:rsid w:val="4B8C2DEB"/>
    <w:rsid w:val="4BFA3C9F"/>
    <w:rsid w:val="4C0E3379"/>
    <w:rsid w:val="4C107F48"/>
    <w:rsid w:val="4C3277BC"/>
    <w:rsid w:val="4C4847DA"/>
    <w:rsid w:val="4CC353EB"/>
    <w:rsid w:val="4CEF2539"/>
    <w:rsid w:val="4CF36F3C"/>
    <w:rsid w:val="4D347B1F"/>
    <w:rsid w:val="4D3D1FBE"/>
    <w:rsid w:val="4D4F67BA"/>
    <w:rsid w:val="4D5301FB"/>
    <w:rsid w:val="4D603399"/>
    <w:rsid w:val="4D867EE1"/>
    <w:rsid w:val="4D9D3C73"/>
    <w:rsid w:val="4DBC4C65"/>
    <w:rsid w:val="4DF6568D"/>
    <w:rsid w:val="4E3E3388"/>
    <w:rsid w:val="4E550010"/>
    <w:rsid w:val="4E5F14CB"/>
    <w:rsid w:val="4EAF015A"/>
    <w:rsid w:val="4F3705F8"/>
    <w:rsid w:val="4F8B2097"/>
    <w:rsid w:val="4FAC3540"/>
    <w:rsid w:val="4FBB12F4"/>
    <w:rsid w:val="4FBE28EB"/>
    <w:rsid w:val="4FCF1583"/>
    <w:rsid w:val="4FFA7625"/>
    <w:rsid w:val="501B0BF9"/>
    <w:rsid w:val="502D20E1"/>
    <w:rsid w:val="507858EC"/>
    <w:rsid w:val="507D2599"/>
    <w:rsid w:val="5096229D"/>
    <w:rsid w:val="50DC4184"/>
    <w:rsid w:val="51475B39"/>
    <w:rsid w:val="514C3EA7"/>
    <w:rsid w:val="519849E5"/>
    <w:rsid w:val="51A6078D"/>
    <w:rsid w:val="51B36892"/>
    <w:rsid w:val="52506DA7"/>
    <w:rsid w:val="532038D9"/>
    <w:rsid w:val="533B2B84"/>
    <w:rsid w:val="535F6AD5"/>
    <w:rsid w:val="537A7243"/>
    <w:rsid w:val="539C1B81"/>
    <w:rsid w:val="53AE750F"/>
    <w:rsid w:val="53F263AD"/>
    <w:rsid w:val="54406242"/>
    <w:rsid w:val="549A6BFA"/>
    <w:rsid w:val="54BB2B47"/>
    <w:rsid w:val="54E72921"/>
    <w:rsid w:val="550165CB"/>
    <w:rsid w:val="552B398D"/>
    <w:rsid w:val="55806F07"/>
    <w:rsid w:val="55C53951"/>
    <w:rsid w:val="55F80036"/>
    <w:rsid w:val="55FA2961"/>
    <w:rsid w:val="565E7F4F"/>
    <w:rsid w:val="56775789"/>
    <w:rsid w:val="56857D06"/>
    <w:rsid w:val="56914056"/>
    <w:rsid w:val="56A4657E"/>
    <w:rsid w:val="56DB613D"/>
    <w:rsid w:val="575D7270"/>
    <w:rsid w:val="57FC2169"/>
    <w:rsid w:val="58096275"/>
    <w:rsid w:val="581C04F1"/>
    <w:rsid w:val="582E6EF7"/>
    <w:rsid w:val="58434392"/>
    <w:rsid w:val="584E30E6"/>
    <w:rsid w:val="59014D02"/>
    <w:rsid w:val="59731841"/>
    <w:rsid w:val="597B384D"/>
    <w:rsid w:val="59996DA8"/>
    <w:rsid w:val="59C30F1B"/>
    <w:rsid w:val="59D011FC"/>
    <w:rsid w:val="59FE4947"/>
    <w:rsid w:val="5A0D5854"/>
    <w:rsid w:val="5A180627"/>
    <w:rsid w:val="5A20156F"/>
    <w:rsid w:val="5A741B75"/>
    <w:rsid w:val="5A8F0814"/>
    <w:rsid w:val="5AC7121C"/>
    <w:rsid w:val="5AD90B8D"/>
    <w:rsid w:val="5AE12927"/>
    <w:rsid w:val="5B2243E9"/>
    <w:rsid w:val="5B4E1A44"/>
    <w:rsid w:val="5B666742"/>
    <w:rsid w:val="5B873201"/>
    <w:rsid w:val="5B89551D"/>
    <w:rsid w:val="5B8B1205"/>
    <w:rsid w:val="5B967767"/>
    <w:rsid w:val="5B9E55DE"/>
    <w:rsid w:val="5C1473E0"/>
    <w:rsid w:val="5C286807"/>
    <w:rsid w:val="5C446BC8"/>
    <w:rsid w:val="5C4C687B"/>
    <w:rsid w:val="5C7C2768"/>
    <w:rsid w:val="5CB23AE6"/>
    <w:rsid w:val="5CF55792"/>
    <w:rsid w:val="5CFD533A"/>
    <w:rsid w:val="5D3F6E77"/>
    <w:rsid w:val="5D893B14"/>
    <w:rsid w:val="5E2B7D62"/>
    <w:rsid w:val="5EA06921"/>
    <w:rsid w:val="5EC053F5"/>
    <w:rsid w:val="5ED5006A"/>
    <w:rsid w:val="5EF63537"/>
    <w:rsid w:val="5F576E4B"/>
    <w:rsid w:val="5F7A2C30"/>
    <w:rsid w:val="5FBE370A"/>
    <w:rsid w:val="5FE540E9"/>
    <w:rsid w:val="601A3898"/>
    <w:rsid w:val="60292845"/>
    <w:rsid w:val="60BB7E2A"/>
    <w:rsid w:val="60F670B5"/>
    <w:rsid w:val="611B4D6D"/>
    <w:rsid w:val="612E1A5D"/>
    <w:rsid w:val="61816046"/>
    <w:rsid w:val="62391564"/>
    <w:rsid w:val="62816669"/>
    <w:rsid w:val="62BA0953"/>
    <w:rsid w:val="62D03A7C"/>
    <w:rsid w:val="62F16BCB"/>
    <w:rsid w:val="62F648FE"/>
    <w:rsid w:val="62F6696D"/>
    <w:rsid w:val="63275C4B"/>
    <w:rsid w:val="63341DB1"/>
    <w:rsid w:val="63A10995"/>
    <w:rsid w:val="63C23EFA"/>
    <w:rsid w:val="643A070A"/>
    <w:rsid w:val="643C381F"/>
    <w:rsid w:val="644C573D"/>
    <w:rsid w:val="648667A7"/>
    <w:rsid w:val="649A52CA"/>
    <w:rsid w:val="64DB383A"/>
    <w:rsid w:val="65032F85"/>
    <w:rsid w:val="65136B50"/>
    <w:rsid w:val="652811A1"/>
    <w:rsid w:val="657E2A35"/>
    <w:rsid w:val="65A94E9D"/>
    <w:rsid w:val="65C60A92"/>
    <w:rsid w:val="66DD6702"/>
    <w:rsid w:val="67912A18"/>
    <w:rsid w:val="679406CB"/>
    <w:rsid w:val="67B553A8"/>
    <w:rsid w:val="67C35C0B"/>
    <w:rsid w:val="67DF08A2"/>
    <w:rsid w:val="67F81964"/>
    <w:rsid w:val="685A5CCF"/>
    <w:rsid w:val="68701E42"/>
    <w:rsid w:val="68AD17BB"/>
    <w:rsid w:val="68D94D22"/>
    <w:rsid w:val="692B2E4A"/>
    <w:rsid w:val="694303FB"/>
    <w:rsid w:val="696A0B34"/>
    <w:rsid w:val="698859AE"/>
    <w:rsid w:val="698D6A17"/>
    <w:rsid w:val="69ED35EC"/>
    <w:rsid w:val="69EE3535"/>
    <w:rsid w:val="69F954C1"/>
    <w:rsid w:val="6A2031B6"/>
    <w:rsid w:val="6A440C53"/>
    <w:rsid w:val="6AA26B69"/>
    <w:rsid w:val="6AC61F6F"/>
    <w:rsid w:val="6AD83AD4"/>
    <w:rsid w:val="6ADE74F0"/>
    <w:rsid w:val="6B1002C0"/>
    <w:rsid w:val="6B58539A"/>
    <w:rsid w:val="6B723594"/>
    <w:rsid w:val="6B805156"/>
    <w:rsid w:val="6B990CEA"/>
    <w:rsid w:val="6BA55E41"/>
    <w:rsid w:val="6BD50977"/>
    <w:rsid w:val="6BEA2A9B"/>
    <w:rsid w:val="6C7B0479"/>
    <w:rsid w:val="6C96062A"/>
    <w:rsid w:val="6C9C0875"/>
    <w:rsid w:val="6CAA3931"/>
    <w:rsid w:val="6D0267EE"/>
    <w:rsid w:val="6D2A6A64"/>
    <w:rsid w:val="6D3933CA"/>
    <w:rsid w:val="6D7B61EC"/>
    <w:rsid w:val="6DAF113C"/>
    <w:rsid w:val="6DD049FF"/>
    <w:rsid w:val="6DF4770B"/>
    <w:rsid w:val="6E09491E"/>
    <w:rsid w:val="6E0D3655"/>
    <w:rsid w:val="6E4B6B60"/>
    <w:rsid w:val="6E5F4465"/>
    <w:rsid w:val="6E8C54DA"/>
    <w:rsid w:val="6EF11E03"/>
    <w:rsid w:val="6F111C62"/>
    <w:rsid w:val="6F2176E5"/>
    <w:rsid w:val="6F3053CA"/>
    <w:rsid w:val="6F592303"/>
    <w:rsid w:val="6F5F5B74"/>
    <w:rsid w:val="6F740722"/>
    <w:rsid w:val="6F9B1C65"/>
    <w:rsid w:val="6FBC3A3D"/>
    <w:rsid w:val="6FD47A25"/>
    <w:rsid w:val="6FFB146E"/>
    <w:rsid w:val="701A5C74"/>
    <w:rsid w:val="706516C3"/>
    <w:rsid w:val="70896E68"/>
    <w:rsid w:val="70B23B20"/>
    <w:rsid w:val="71033E13"/>
    <w:rsid w:val="71266B64"/>
    <w:rsid w:val="715B60E9"/>
    <w:rsid w:val="71A2162C"/>
    <w:rsid w:val="71EA1FED"/>
    <w:rsid w:val="72A423E3"/>
    <w:rsid w:val="72C16204"/>
    <w:rsid w:val="730313F6"/>
    <w:rsid w:val="7307011B"/>
    <w:rsid w:val="731E1007"/>
    <w:rsid w:val="73370D24"/>
    <w:rsid w:val="7359268C"/>
    <w:rsid w:val="738E7F36"/>
    <w:rsid w:val="739503EB"/>
    <w:rsid w:val="73A05B28"/>
    <w:rsid w:val="73C07D69"/>
    <w:rsid w:val="73DD78DC"/>
    <w:rsid w:val="74B42AE4"/>
    <w:rsid w:val="74B66E2F"/>
    <w:rsid w:val="74F355FB"/>
    <w:rsid w:val="750A429D"/>
    <w:rsid w:val="755D38A7"/>
    <w:rsid w:val="75614792"/>
    <w:rsid w:val="75683F3A"/>
    <w:rsid w:val="75784473"/>
    <w:rsid w:val="757E044C"/>
    <w:rsid w:val="75977BC3"/>
    <w:rsid w:val="75B161B3"/>
    <w:rsid w:val="75E470E3"/>
    <w:rsid w:val="76736B32"/>
    <w:rsid w:val="768C5345"/>
    <w:rsid w:val="76E3765E"/>
    <w:rsid w:val="76FC2AFA"/>
    <w:rsid w:val="774039BC"/>
    <w:rsid w:val="775D3076"/>
    <w:rsid w:val="77653671"/>
    <w:rsid w:val="7772185A"/>
    <w:rsid w:val="778546CC"/>
    <w:rsid w:val="7789225F"/>
    <w:rsid w:val="77991C2E"/>
    <w:rsid w:val="77B56730"/>
    <w:rsid w:val="77BC7D1A"/>
    <w:rsid w:val="77C04A8B"/>
    <w:rsid w:val="77D15A3C"/>
    <w:rsid w:val="77D85DB3"/>
    <w:rsid w:val="780252A0"/>
    <w:rsid w:val="78027772"/>
    <w:rsid w:val="78A50513"/>
    <w:rsid w:val="792473D4"/>
    <w:rsid w:val="796518DD"/>
    <w:rsid w:val="79AA0532"/>
    <w:rsid w:val="79FE1DDD"/>
    <w:rsid w:val="7A075767"/>
    <w:rsid w:val="7A0F7C72"/>
    <w:rsid w:val="7A212062"/>
    <w:rsid w:val="7A282A11"/>
    <w:rsid w:val="7A63162C"/>
    <w:rsid w:val="7AA229AE"/>
    <w:rsid w:val="7AC21562"/>
    <w:rsid w:val="7AD474A4"/>
    <w:rsid w:val="7B5350AD"/>
    <w:rsid w:val="7B697C89"/>
    <w:rsid w:val="7B8D34C3"/>
    <w:rsid w:val="7B971D84"/>
    <w:rsid w:val="7B9E1659"/>
    <w:rsid w:val="7BF32F03"/>
    <w:rsid w:val="7C1724A5"/>
    <w:rsid w:val="7C8E3CCF"/>
    <w:rsid w:val="7CA54112"/>
    <w:rsid w:val="7CB4634A"/>
    <w:rsid w:val="7CCC4107"/>
    <w:rsid w:val="7CE50CE4"/>
    <w:rsid w:val="7D2E5ABF"/>
    <w:rsid w:val="7D350FA9"/>
    <w:rsid w:val="7E2142A2"/>
    <w:rsid w:val="7E5A6DFA"/>
    <w:rsid w:val="7E7B0BF2"/>
    <w:rsid w:val="7E8D75B6"/>
    <w:rsid w:val="7EB2417D"/>
    <w:rsid w:val="7EF760EE"/>
    <w:rsid w:val="7F0228E6"/>
    <w:rsid w:val="7F2A21E7"/>
    <w:rsid w:val="7F4569B4"/>
    <w:rsid w:val="7F57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8"/>
    <w:qFormat/>
    <w:uiPriority w:val="0"/>
    <w:pPr>
      <w:widowControl w:val="0"/>
      <w:adjustRightInd/>
      <w:snapToGrid/>
      <w:spacing w:after="0"/>
      <w:jc w:val="both"/>
    </w:pPr>
    <w:rPr>
      <w:rFonts w:ascii="宋体" w:hAnsi="Courier New" w:eastAsia="宋体" w:cs="Times New Roman"/>
      <w:b/>
      <w:kern w:val="2"/>
      <w:sz w:val="21"/>
      <w:szCs w:val="20"/>
    </w:rPr>
  </w:style>
  <w:style w:type="paragraph" w:styleId="6">
    <w:name w:val="annotation text"/>
    <w:basedOn w:val="1"/>
    <w:semiHidden/>
    <w:unhideWhenUsed/>
    <w:qFormat/>
    <w:uiPriority w:val="99"/>
    <w:pPr>
      <w:jc w:val="left"/>
    </w:pPr>
  </w:style>
  <w:style w:type="paragraph" w:styleId="7">
    <w:name w:val="Body Text"/>
    <w:basedOn w:val="1"/>
    <w:qFormat/>
    <w:uiPriority w:val="1"/>
    <w:pPr>
      <w:spacing w:before="161"/>
      <w:ind w:left="120"/>
    </w:pPr>
    <w:rPr>
      <w:rFonts w:ascii="宋体" w:hAnsi="宋体" w:eastAsia="宋体" w:cs="宋体"/>
      <w:sz w:val="24"/>
      <w:lang w:val="zh-CN" w:bidi="zh-CN"/>
    </w:rPr>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Balloon Text"/>
    <w:basedOn w:val="1"/>
    <w:link w:val="41"/>
    <w:semiHidden/>
    <w:unhideWhenUsed/>
    <w:qFormat/>
    <w:uiPriority w:val="99"/>
    <w:pPr>
      <w:spacing w:after="0"/>
    </w:pPr>
    <w:rPr>
      <w:sz w:val="18"/>
      <w:szCs w:val="18"/>
    </w:rPr>
  </w:style>
  <w:style w:type="paragraph" w:styleId="10">
    <w:name w:val="footer"/>
    <w:basedOn w:val="1"/>
    <w:link w:val="40"/>
    <w:unhideWhenUsed/>
    <w:qFormat/>
    <w:uiPriority w:val="99"/>
    <w:pPr>
      <w:tabs>
        <w:tab w:val="center" w:pos="4153"/>
        <w:tab w:val="right" w:pos="8306"/>
      </w:tabs>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3"/>
    <w:qFormat/>
    <w:uiPriority w:val="0"/>
    <w:pPr>
      <w:widowControl w:val="0"/>
      <w:adjustRightInd/>
      <w:snapToGrid/>
      <w:spacing w:after="0"/>
      <w:jc w:val="both"/>
    </w:pPr>
    <w:rPr>
      <w:rFonts w:eastAsia="宋体" w:asciiTheme="minorHAnsi" w:hAnsiTheme="minorHAnsi"/>
      <w:kern w:val="2"/>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iCs/>
    </w:rPr>
  </w:style>
  <w:style w:type="character" w:styleId="22">
    <w:name w:val="Hyperlink"/>
    <w:qFormat/>
    <w:uiPriority w:val="99"/>
    <w:rPr>
      <w:rFonts w:hint="eastAsia" w:ascii="宋体" w:hAnsi="宋体" w:eastAsia="宋体" w:cs="宋体"/>
      <w:b/>
      <w:color w:val="0031C1"/>
      <w:kern w:val="0"/>
      <w:sz w:val="18"/>
      <w:szCs w:val="18"/>
      <w:u w:val="none"/>
      <w:lang w:eastAsia="en-US"/>
    </w:rPr>
  </w:style>
  <w:style w:type="character" w:styleId="23">
    <w:name w:val="footnote reference"/>
    <w:basedOn w:val="20"/>
    <w:semiHidden/>
    <w:unhideWhenUsed/>
    <w:qFormat/>
    <w:uiPriority w:val="99"/>
    <w:rPr>
      <w:vertAlign w:val="superscript"/>
    </w:rPr>
  </w:style>
  <w:style w:type="character" w:customStyle="1" w:styleId="24">
    <w:name w:val="标题 2 字符"/>
    <w:basedOn w:val="20"/>
    <w:link w:val="3"/>
    <w:qFormat/>
    <w:uiPriority w:val="9"/>
    <w:rPr>
      <w:rFonts w:asciiTheme="majorHAnsi" w:hAnsiTheme="majorHAnsi" w:eastAsiaTheme="majorEastAsia" w:cstheme="majorBidi"/>
      <w:b/>
      <w:bCs/>
      <w:sz w:val="32"/>
      <w:szCs w:val="32"/>
    </w:rPr>
  </w:style>
  <w:style w:type="character" w:customStyle="1" w:styleId="25">
    <w:name w:val="标题 3 字符"/>
    <w:basedOn w:val="20"/>
    <w:link w:val="4"/>
    <w:qFormat/>
    <w:uiPriority w:val="9"/>
    <w:rPr>
      <w:rFonts w:ascii="Tahoma" w:hAnsi="Tahoma"/>
      <w:b/>
      <w:bCs/>
      <w:sz w:val="32"/>
      <w:szCs w:val="32"/>
    </w:rPr>
  </w:style>
  <w:style w:type="paragraph" w:styleId="26">
    <w:name w:val="List Paragraph"/>
    <w:basedOn w:val="1"/>
    <w:qFormat/>
    <w:uiPriority w:val="34"/>
    <w:pPr>
      <w:ind w:firstLine="420" w:firstLineChars="200"/>
    </w:pPr>
  </w:style>
  <w:style w:type="character" w:customStyle="1" w:styleId="27">
    <w:name w:val="标题 4 字符"/>
    <w:basedOn w:val="20"/>
    <w:link w:val="5"/>
    <w:qFormat/>
    <w:uiPriority w:val="9"/>
    <w:rPr>
      <w:rFonts w:asciiTheme="majorHAnsi" w:hAnsiTheme="majorHAnsi" w:eastAsiaTheme="majorEastAsia" w:cstheme="majorBidi"/>
      <w:b/>
      <w:bCs/>
      <w:sz w:val="28"/>
      <w:szCs w:val="28"/>
    </w:rPr>
  </w:style>
  <w:style w:type="character" w:customStyle="1" w:styleId="28">
    <w:name w:val="正文缩进2格 Char"/>
    <w:link w:val="29"/>
    <w:qFormat/>
    <w:uiPriority w:val="0"/>
    <w:rPr>
      <w:rFonts w:ascii="仿宋_GB2312" w:hAnsi="宋体" w:eastAsia="仿宋_GB2312"/>
      <w:kern w:val="2"/>
      <w:sz w:val="31"/>
    </w:rPr>
  </w:style>
  <w:style w:type="paragraph" w:customStyle="1" w:styleId="29">
    <w:name w:val="正文缩进2格"/>
    <w:basedOn w:val="1"/>
    <w:link w:val="28"/>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0">
    <w:name w:val="正文缩进4格"/>
    <w:basedOn w:val="29"/>
    <w:qFormat/>
    <w:uiPriority w:val="0"/>
    <w:pPr>
      <w:ind w:left="2" w:firstLine="538" w:firstLineChars="192"/>
    </w:pPr>
    <w:rPr>
      <w:color w:val="0000FF"/>
      <w:sz w:val="28"/>
    </w:rPr>
  </w:style>
  <w:style w:type="character" w:customStyle="1" w:styleId="31">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2">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3">
    <w:name w:val="标题1"/>
    <w:qFormat/>
    <w:uiPriority w:val="0"/>
    <w:rPr>
      <w:rFonts w:ascii="Times New Roman" w:hAnsi="Times New Roman" w:eastAsia="宋体" w:cs="Times New Roman"/>
      <w:b/>
      <w:kern w:val="0"/>
      <w:sz w:val="24"/>
      <w:szCs w:val="20"/>
      <w:lang w:eastAsia="en-US"/>
    </w:rPr>
  </w:style>
  <w:style w:type="character" w:customStyle="1" w:styleId="34">
    <w:name w:val="标题 3.1 Char"/>
    <w:link w:val="35"/>
    <w:qFormat/>
    <w:uiPriority w:val="0"/>
    <w:rPr>
      <w:rFonts w:ascii="宋体" w:hAnsi="宋体" w:eastAsia="宋体"/>
      <w:b/>
      <w:color w:val="FF0000"/>
      <w:kern w:val="2"/>
      <w:sz w:val="32"/>
    </w:rPr>
  </w:style>
  <w:style w:type="paragraph" w:customStyle="1" w:styleId="35">
    <w:name w:val="标题 3.1"/>
    <w:basedOn w:val="4"/>
    <w:link w:val="34"/>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6">
    <w:name w:val="样式 楷体_GB2312 小四"/>
    <w:qFormat/>
    <w:uiPriority w:val="0"/>
    <w:rPr>
      <w:rFonts w:ascii="楷体_GB2312" w:hAnsi="楷体_GB2312" w:eastAsia="仿宋_GB2312"/>
      <w:sz w:val="24"/>
    </w:rPr>
  </w:style>
  <w:style w:type="character" w:customStyle="1" w:styleId="37">
    <w:name w:val="纯文本 Char"/>
    <w:qFormat/>
    <w:uiPriority w:val="0"/>
    <w:rPr>
      <w:rFonts w:ascii="宋体" w:hAnsi="Courier New" w:eastAsia="宋体" w:cs="Times New Roman"/>
      <w:b/>
      <w:kern w:val="2"/>
      <w:sz w:val="21"/>
      <w:szCs w:val="20"/>
    </w:rPr>
  </w:style>
  <w:style w:type="character" w:customStyle="1" w:styleId="38">
    <w:name w:val="纯文本 字符"/>
    <w:basedOn w:val="20"/>
    <w:link w:val="2"/>
    <w:semiHidden/>
    <w:qFormat/>
    <w:uiPriority w:val="99"/>
    <w:rPr>
      <w:rFonts w:ascii="宋体" w:hAnsi="Courier New" w:eastAsia="宋体" w:cs="Courier New"/>
      <w:sz w:val="21"/>
      <w:szCs w:val="21"/>
    </w:rPr>
  </w:style>
  <w:style w:type="character" w:customStyle="1" w:styleId="39">
    <w:name w:val="页眉 字符"/>
    <w:basedOn w:val="20"/>
    <w:link w:val="11"/>
    <w:qFormat/>
    <w:uiPriority w:val="99"/>
    <w:rPr>
      <w:rFonts w:ascii="Tahoma" w:hAnsi="Tahoma"/>
      <w:sz w:val="18"/>
      <w:szCs w:val="18"/>
    </w:rPr>
  </w:style>
  <w:style w:type="character" w:customStyle="1" w:styleId="40">
    <w:name w:val="页脚 字符"/>
    <w:basedOn w:val="20"/>
    <w:link w:val="10"/>
    <w:qFormat/>
    <w:uiPriority w:val="99"/>
    <w:rPr>
      <w:rFonts w:ascii="Tahoma" w:hAnsi="Tahoma"/>
      <w:sz w:val="18"/>
      <w:szCs w:val="18"/>
    </w:rPr>
  </w:style>
  <w:style w:type="character" w:customStyle="1" w:styleId="41">
    <w:name w:val="批注框文本 字符"/>
    <w:basedOn w:val="20"/>
    <w:link w:val="9"/>
    <w:semiHidden/>
    <w:qFormat/>
    <w:uiPriority w:val="99"/>
    <w:rPr>
      <w:rFonts w:ascii="Tahoma" w:hAnsi="Tahoma"/>
      <w:sz w:val="18"/>
      <w:szCs w:val="18"/>
    </w:rPr>
  </w:style>
  <w:style w:type="paragraph" w:customStyle="1" w:styleId="42">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3">
    <w:name w:val="普通(网站) 字符"/>
    <w:link w:val="17"/>
    <w:qFormat/>
    <w:uiPriority w:val="0"/>
    <w:rPr>
      <w:rFonts w:eastAsia="宋体"/>
      <w:kern w:val="2"/>
      <w:sz w:val="24"/>
      <w:szCs w:val="24"/>
    </w:rPr>
  </w:style>
  <w:style w:type="paragraph" w:customStyle="1" w:styleId="44">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5">
    <w:name w:val="p141"/>
    <w:qFormat/>
    <w:uiPriority w:val="0"/>
    <w:rPr>
      <w:sz w:val="21"/>
      <w:szCs w:val="21"/>
    </w:rPr>
  </w:style>
  <w:style w:type="paragraph" w:customStyle="1" w:styleId="46">
    <w:name w:val="标题 Char Char"/>
    <w:basedOn w:val="47"/>
    <w:next w:val="14"/>
    <w:qFormat/>
    <w:uiPriority w:val="0"/>
    <w:pPr>
      <w:jc w:val="center"/>
      <w:outlineLvl w:val="0"/>
    </w:pPr>
    <w:rPr>
      <w:rFonts w:ascii="Arial" w:hAnsi="Arial"/>
      <w:b/>
      <w:sz w:val="32"/>
    </w:rPr>
  </w:style>
  <w:style w:type="paragraph" w:customStyle="1" w:styleId="47">
    <w:name w:val="正文 New New New New New New New"/>
    <w:next w:val="46"/>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
    <w:name w:val="正文正"/>
    <w:basedOn w:val="1"/>
    <w:qFormat/>
    <w:uiPriority w:val="0"/>
    <w:pPr>
      <w:spacing w:line="560" w:lineRule="exact"/>
      <w:ind w:firstLine="561"/>
    </w:pPr>
    <w:rPr>
      <w:rFonts w:ascii="Calibri" w:hAnsi="Calibri" w:eastAsia="宋体"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62</Pages>
  <Words>5252</Words>
  <Characters>5846</Characters>
  <Lines>253</Lines>
  <Paragraphs>71</Paragraphs>
  <TotalTime>1</TotalTime>
  <ScaleCrop>false</ScaleCrop>
  <LinksUpToDate>false</LinksUpToDate>
  <CharactersWithSpaces>6045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三方诚信-谭工</cp:lastModifiedBy>
  <cp:lastPrinted>2025-07-11T03:08:00Z</cp:lastPrinted>
  <dcterms:modified xsi:type="dcterms:W3CDTF">2025-08-15T06:42:41Z</dcterms:modified>
  <dc:subject>公开招标文件版本</dc:subject>
  <dc:title>公开招标文件版本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8998CF32AB0C48528D4D5B164F41187D_13</vt:lpwstr>
  </property>
  <property fmtid="{D5CDD505-2E9C-101B-9397-08002B2CF9AE}" pid="4" name="KSOTemplateDocerSaveRecord">
    <vt:lpwstr>eyJoZGlkIjoiZWUzMjZiMjhiM2Q0ZTgzNDU5MjgwYjZiYWY3MTE0MTEiLCJ1c2VySWQiOiIyNzA5MjIwNTkifQ==</vt:lpwstr>
  </property>
</Properties>
</file>