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D0A49">
      <w:pPr>
        <w:pStyle w:val="7"/>
        <w:numPr>
          <w:ilvl w:val="0"/>
          <w:numId w:val="0"/>
        </w:numPr>
        <w:spacing w:before="252" w:line="229" w:lineRule="auto"/>
        <w:jc w:val="center"/>
        <w:rPr>
          <w:rFonts w:hint="eastAsia"/>
          <w:b/>
          <w:bCs/>
          <w:color w:val="3B3B3B"/>
          <w:spacing w:val="3"/>
          <w:sz w:val="44"/>
          <w:szCs w:val="44"/>
          <w:lang w:val="en-US" w:eastAsia="zh-CN"/>
        </w:rPr>
      </w:pPr>
      <w:r>
        <w:rPr>
          <w:rFonts w:hint="eastAsia"/>
          <w:b/>
          <w:bCs/>
          <w:color w:val="3B3B3B"/>
          <w:spacing w:val="3"/>
          <w:sz w:val="44"/>
          <w:szCs w:val="44"/>
          <w:lang w:val="en-US" w:eastAsia="zh-CN"/>
        </w:rPr>
        <w:t>东莞市社会福利中心网络安全服务</w:t>
      </w:r>
    </w:p>
    <w:p w14:paraId="770D32B8">
      <w:pPr>
        <w:pStyle w:val="7"/>
        <w:numPr>
          <w:ilvl w:val="0"/>
          <w:numId w:val="0"/>
        </w:numPr>
        <w:spacing w:before="252" w:line="229" w:lineRule="auto"/>
        <w:jc w:val="center"/>
        <w:rPr>
          <w:rFonts w:hint="eastAsia"/>
          <w:b/>
          <w:bCs/>
          <w:color w:val="3B3B3B"/>
          <w:spacing w:val="3"/>
          <w:sz w:val="44"/>
          <w:szCs w:val="44"/>
          <w:lang w:val="en-US" w:eastAsia="zh-CN"/>
        </w:rPr>
      </w:pPr>
      <w:r>
        <w:rPr>
          <w:rFonts w:hint="eastAsia"/>
          <w:b/>
          <w:bCs/>
          <w:color w:val="3B3B3B"/>
          <w:spacing w:val="3"/>
          <w:sz w:val="44"/>
          <w:szCs w:val="44"/>
          <w:lang w:val="en-US" w:eastAsia="zh-CN"/>
        </w:rPr>
        <w:t>项目需求</w:t>
      </w:r>
    </w:p>
    <w:p w14:paraId="31438493">
      <w:pPr>
        <w:pStyle w:val="7"/>
        <w:numPr>
          <w:ilvl w:val="0"/>
          <w:numId w:val="0"/>
        </w:numPr>
        <w:spacing w:before="252" w:line="229" w:lineRule="auto"/>
        <w:jc w:val="center"/>
        <w:rPr>
          <w:rFonts w:hint="eastAsia"/>
          <w:b/>
          <w:bCs/>
          <w:color w:val="3B3B3B"/>
          <w:spacing w:val="3"/>
          <w:lang w:val="en-US" w:eastAsia="zh-CN"/>
        </w:rPr>
      </w:pPr>
    </w:p>
    <w:p w14:paraId="187096A3">
      <w:pPr>
        <w:pStyle w:val="7"/>
        <w:spacing w:before="249" w:line="229" w:lineRule="auto"/>
        <w:ind w:left="688"/>
        <w:rPr>
          <w:rFonts w:hint="default"/>
          <w:color w:val="3B3B3B"/>
          <w:spacing w:val="7"/>
          <w:lang w:val="en-US" w:eastAsia="zh-CN"/>
        </w:rPr>
      </w:pPr>
      <w:r>
        <w:rPr>
          <w:rFonts w:hint="eastAsia"/>
          <w:color w:val="3B3B3B"/>
          <w:spacing w:val="7"/>
          <w:lang w:val="en-US" w:eastAsia="zh-CN"/>
        </w:rPr>
        <w:t>1.服务内容</w:t>
      </w: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6"/>
        <w:gridCol w:w="4852"/>
        <w:gridCol w:w="776"/>
        <w:gridCol w:w="777"/>
      </w:tblGrid>
      <w:tr w14:paraId="4E5E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15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E2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BA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服务内容说明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CC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EF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3F39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C5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84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病毒防护服务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76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服务内容：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1、服务期间为东莞市社会福利中心终端电脑、服务器提供1年防病毒系统软件使用授权及病毒库升级服务；</w:t>
            </w:r>
          </w:p>
          <w:p w14:paraId="61F6A86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提供满足防病毒软件运行需求的服务器硬件（CPU≥12核2.3Ghz，≥32G内存，≥2*1TB硬盘支持RAID1,4个千兆电口网卡）；</w:t>
            </w:r>
          </w:p>
          <w:p w14:paraId="4E21B58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提供管理中心和客户端安装调试服务和病毒处置上门技术服务。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软件功能要求：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1、客户端授权数≥115个，1年病毒库升级服务授权；</w:t>
            </w:r>
          </w:p>
          <w:p w14:paraId="670088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2、服务端和客户端支持WIN7或以上版本操作系统，同时支持银河麒麟、统信UOS等国产操作系统；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3、管理中心支持对Windows、linux、银河麒麟、统信UOS各种不同操作系统版本的客户端统一运维管控；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4、系统具有弹窗拦截工具，可拦截流氓、广告、以及恶意弹窗等。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服务范围：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东莞市社会福利中心政务网电脑、服务器。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服务频次：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长期（1年）。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6D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DB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012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A6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7D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网络边界防护服务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1B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服务内容：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1、服务期间提供1台下一代防火墙，对东莞市社会福利中心的网络出口进行防护，提供网络访问控制等服务；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2、提供设备安装调试服务和策略优化调整上门技术服务；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参数要求：网络层吞吐量：≥4G，应用层吞吐量：≥2G，接口：8千兆电口+2千兆光口SFP。含1年WEB应用防护识别库、IPS特征库、僵尸网络防护库、URL&amp;应用识别库、网关杀毒升级定期更新服务。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服务范围：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东莞市社会福利中心网络出口。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服务频次：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长期（1年）。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CE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A2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0A2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3C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5F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日志收集及审计服务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F4F2">
            <w:pPr>
              <w:tabs>
                <w:tab w:val="left" w:pos="1695"/>
              </w:tabs>
              <w:spacing w:afterLines="0" w:line="360" w:lineRule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服务内容：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服务期间提供1台日志收集及审计系统，对东莞市社会福利中心所有网络设备、安全设备、服务器和业务系统的日志进行统一收集、集中存储和审计，日志留存时间不少于180天。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服务范围：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东莞市社会福利中心所有网络设备、安全设备、服务器和业务系统，不少于10个日志源授权。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服务频次：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长期（1年）。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BD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1B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D87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A8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33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网络安全事件处置服务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33DB">
            <w:pPr>
              <w:tabs>
                <w:tab w:val="left" w:pos="1695"/>
              </w:tabs>
              <w:spacing w:afterLines="0"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服务内容：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负责日常市智能化安全运维管理平台工单处置；负责市网络安全监管部门下发的网络安全预警排查、隐患漏洞通报、事件通报、风险清查等任务的处置工作。</w:t>
            </w:r>
          </w:p>
          <w:p w14:paraId="50E15540">
            <w:pPr>
              <w:tabs>
                <w:tab w:val="left" w:pos="1695"/>
              </w:tabs>
              <w:spacing w:afterLines="0"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服务范围：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东莞市社会福利中心所有终端和应用系统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服务频次：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长期（1年）。</w:t>
            </w:r>
          </w:p>
          <w:p w14:paraId="5A77F3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服务人员：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高级安全运维人员（5 年以上行业从业经验）。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4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84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108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FC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AC31">
            <w:pPr>
              <w:keepNext w:val="0"/>
              <w:keepLines w:val="0"/>
              <w:pageBreakBefore w:val="0"/>
              <w:widowControl/>
              <w:tabs>
                <w:tab w:val="left" w:pos="169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360" w:lineRule="auto"/>
              <w:jc w:val="center"/>
              <w:rPr>
                <w:rFonts w:hint="eastAsia" w:ascii="仿宋_GB2312" w:hAnsi="仿宋_GB2312" w:eastAsia="仿宋_GB2312" w:cs="Arial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安全培训服务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E8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服务内容：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为东莞市社会福利中心开展一次全员网络安全意识培训，涵盖常见安全意识问题，让全体人员能更深入掌握信息安全、网络安全的知识和理论。</w:t>
            </w:r>
          </w:p>
          <w:p w14:paraId="01899F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服务范围：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东莞市社会福利中心全体人员。</w:t>
            </w:r>
          </w:p>
          <w:p w14:paraId="0DBD9F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服务频次：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合同期内1次。</w:t>
            </w:r>
          </w:p>
          <w:p w14:paraId="1C7A22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Arial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服务人员：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高级安全运维人员（5 年以上行业从业经验）。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12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次/年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80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17E783D2">
      <w:pPr>
        <w:spacing w:line="353" w:lineRule="auto"/>
        <w:rPr>
          <w:rFonts w:ascii="Arial"/>
          <w:sz w:val="21"/>
        </w:rPr>
      </w:pPr>
    </w:p>
    <w:p w14:paraId="12CF26EA">
      <w:pPr>
        <w:pStyle w:val="7"/>
        <w:spacing w:before="274" w:line="299" w:lineRule="auto"/>
        <w:ind w:left="701" w:right="244" w:hanging="1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2.服务地点：东莞市东城街道莞温路546号东莞市社会福利中心。</w:t>
      </w:r>
    </w:p>
    <w:p w14:paraId="323D2CDF">
      <w:pPr>
        <w:pStyle w:val="7"/>
        <w:spacing w:before="274" w:line="299" w:lineRule="auto"/>
        <w:ind w:left="701" w:right="244" w:hanging="19"/>
        <w:rPr>
          <w:rFonts w:hint="eastAsia"/>
          <w:color w:val="3B3B3B"/>
          <w:spacing w:val="16"/>
          <w:highlight w:val="none"/>
          <w:lang w:val="en-US" w:eastAsia="zh-CN"/>
        </w:rPr>
      </w:pPr>
      <w:r>
        <w:rPr>
          <w:rFonts w:hint="eastAsia"/>
          <w:color w:val="3B3B3B"/>
          <w:spacing w:val="16"/>
          <w:lang w:val="en-US" w:eastAsia="zh-CN"/>
        </w:rPr>
        <w:t>3.知识产权：供应商应保证在本项目使用的任何产品和服务（包括部分使用）时，不会产生因第三方提出侵犯专利权、著作权、商标权和工业设计权或其它知识产权而引起的法律和经济纠纷，如果任何第三方提出侵权指控，供应商须与第三方交涉并自</w:t>
      </w:r>
      <w:r>
        <w:rPr>
          <w:rFonts w:hint="eastAsia"/>
          <w:color w:val="3B3B3B"/>
          <w:spacing w:val="16"/>
          <w:highlight w:val="none"/>
          <w:lang w:val="en-US" w:eastAsia="zh-CN"/>
        </w:rPr>
        <w:t>行承担由此发生的一切法律责任、费用和经济赔偿，导致采购人不能使用成果的应退还全部项目费用，并承担违约责任及赔偿因此给甲方造成的全部损失。</w:t>
      </w:r>
    </w:p>
    <w:p w14:paraId="6E08A63A">
      <w:pPr>
        <w:pStyle w:val="7"/>
        <w:spacing w:before="274" w:line="299" w:lineRule="auto"/>
        <w:ind w:left="701" w:right="244" w:hanging="19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设备与部署：承诺在合同签订后</w:t>
      </w:r>
      <w:r>
        <w:rPr>
          <w:rFonts w:hint="eastAsia"/>
          <w:lang w:val="en-US" w:eastAsia="zh-CN"/>
        </w:rPr>
        <w:t>10个工作日内</w:t>
      </w:r>
      <w:r>
        <w:rPr>
          <w:rFonts w:hint="eastAsia"/>
        </w:rPr>
        <w:t>，提供符合参数要求的硬件设备及软件授权，并完成所有系统的安装、调试与策略配置。</w:t>
      </w:r>
    </w:p>
    <w:p w14:paraId="460975EE">
      <w:pPr>
        <w:pStyle w:val="7"/>
        <w:spacing w:before="274" w:line="299" w:lineRule="auto"/>
        <w:ind w:left="701" w:right="244" w:hanging="1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5.服务响应：对于日常安全运维管理平台工单、网络安全监管部门下达的预警排查、漏洞通报、事件处置等任务，承诺在接报后4小时内响应并安排处理，48小时内完成任务处置并出具处置报告；</w:t>
      </w:r>
      <w:r>
        <w:rPr>
          <w:rFonts w:hint="eastAsia"/>
        </w:rPr>
        <w:t>对于提供的安全设备及软件系统出现的故障或技术问题，承诺提供</w:t>
      </w:r>
      <w:r>
        <w:rPr>
          <w:rFonts w:hint="eastAsia"/>
          <w:lang w:val="en-US" w:eastAsia="zh-CN"/>
        </w:rPr>
        <w:t>4小时内</w:t>
      </w:r>
      <w:r>
        <w:rPr>
          <w:rFonts w:hint="eastAsia"/>
        </w:rPr>
        <w:t>现场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技术支持。</w:t>
      </w:r>
    </w:p>
    <w:p w14:paraId="22CBE266">
      <w:pPr>
        <w:pStyle w:val="7"/>
        <w:spacing w:before="274" w:line="299" w:lineRule="auto"/>
        <w:ind w:left="701" w:right="244" w:hanging="19"/>
        <w:rPr>
          <w:rFonts w:hint="default"/>
          <w:color w:val="3B3B3B"/>
          <w:spacing w:val="16"/>
          <w:highlight w:val="none"/>
          <w:lang w:val="en-US" w:eastAsia="zh-CN"/>
        </w:rPr>
      </w:pPr>
      <w:r>
        <w:rPr>
          <w:rFonts w:hint="eastAsia"/>
          <w:color w:val="3B3B3B"/>
          <w:spacing w:val="16"/>
          <w:highlight w:val="none"/>
          <w:lang w:val="en-US" w:eastAsia="zh-CN"/>
        </w:rPr>
        <w:t>6.本项目使用的网络安全产品须具备《网络安全专用产品安全检测证书》，并提供复印件加盖供应商公章。</w:t>
      </w:r>
    </w:p>
    <w:p w14:paraId="482B52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文黑-55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83191"/>
    <w:multiLevelType w:val="multilevel"/>
    <w:tmpl w:val="B5E83191"/>
    <w:lvl w:ilvl="0" w:tentative="0">
      <w:start w:val="1"/>
      <w:numFmt w:val="decimal"/>
      <w:pStyle w:val="2"/>
      <w:suff w:val="nothing"/>
      <w:lvlText w:val="%1 "/>
      <w:lvlJc w:val="left"/>
      <w:pPr>
        <w:ind w:left="0" w:firstLine="0"/>
      </w:pPr>
    </w:lvl>
    <w:lvl w:ilvl="1" w:tentative="0">
      <w:start w:val="1"/>
      <w:numFmt w:val="decimal"/>
      <w:pStyle w:val="3"/>
      <w:suff w:val="nothing"/>
      <w:lvlText w:val="%1.%2 "/>
      <w:lvlJc w:val="left"/>
      <w:pPr>
        <w:ind w:left="0" w:firstLine="0"/>
      </w:pPr>
      <w:rPr>
        <w:rFonts w:hint="default" w:ascii="Book Antiqua" w:hAnsi="Book Antiqua" w:eastAsia="黑体" w:cs="Arial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suff w:val="nothing"/>
      <w:lvlText w:val="%1.%2.%3 "/>
      <w:lvlJc w:val="left"/>
      <w:pPr>
        <w:ind w:left="0" w:firstLine="0"/>
      </w:pPr>
      <w:rPr>
        <w:rFonts w:hint="default" w:ascii="Book Antiqua" w:hAnsi="Book Antiqua" w:eastAsia="黑体" w:cs="Arial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lvlRestart w:val="1"/>
      <w:pStyle w:val="5"/>
      <w:suff w:val="nothing"/>
      <w:lvlText w:val="%1.%2.%3.%4 "/>
      <w:lvlJc w:val="left"/>
      <w:pPr>
        <w:ind w:left="0" w:firstLine="0"/>
      </w:pPr>
      <w:rPr>
        <w:rFonts w:hint="default" w:ascii="Book Antiqua" w:hAnsi="Book Antiqua" w:eastAsia="黑体" w:cs="Arial"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lvlRestart w:val="1"/>
      <w:pStyle w:val="6"/>
      <w:suff w:val="nothing"/>
      <w:lvlText w:val="%1.%2.%3.%4.%5 "/>
      <w:lvlJc w:val="left"/>
      <w:pPr>
        <w:ind w:left="0" w:firstLine="0"/>
      </w:pPr>
      <w:rPr>
        <w:rFonts w:hint="default" w:ascii="Book Antiqua" w:hAnsi="Book Antiqua" w:eastAsia="黑体" w:cs="Arial"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default" w:ascii="Arial" w:hAnsi="Arial" w:cs="Book Antiqua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pStyle w:val="12"/>
      <w:lvlText w:val="步骤 %7"/>
      <w:lvlJc w:val="right"/>
      <w:pPr>
        <w:tabs>
          <w:tab w:val="left" w:pos="1701"/>
        </w:tabs>
        <w:ind w:left="1701" w:hanging="159"/>
      </w:pPr>
      <w:rPr>
        <w:rFonts w:hint="default" w:ascii="Book Antiqua" w:hAnsi="Book Antiqua" w:eastAsia="黑体" w:cs="Times New Roman"/>
        <w:b w:val="0"/>
        <w:bCs/>
        <w:i w:val="0"/>
        <w:iCs w:val="0"/>
        <w:color w:val="auto"/>
        <w:sz w:val="21"/>
        <w:szCs w:val="21"/>
      </w:rPr>
    </w:lvl>
    <w:lvl w:ilvl="7" w:tentative="0">
      <w:start w:val="1"/>
      <w:numFmt w:val="decimal"/>
      <w:lvlRestart w:val="1"/>
      <w:pStyle w:val="13"/>
      <w:suff w:val="space"/>
      <w:lvlText w:val="图%1-%8"/>
      <w:lvlJc w:val="left"/>
      <w:pPr>
        <w:ind w:left="567" w:firstLine="0"/>
      </w:pPr>
      <w:rPr>
        <w:rFonts w:hint="default" w:ascii="Times New Roman" w:hAnsi="Times New Roman" w:eastAsia="黑体" w:cs="Arial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lvlRestart w:val="1"/>
      <w:pStyle w:val="14"/>
      <w:suff w:val="space"/>
      <w:lvlText w:val="表%1-%9"/>
      <w:lvlJc w:val="left"/>
      <w:pPr>
        <w:ind w:left="1701" w:firstLine="0"/>
      </w:pPr>
      <w:rPr>
        <w:rFonts w:hint="default" w:ascii="Times New Roman" w:hAnsi="Times New Roman" w:eastAsia="黑体"/>
        <w:b w:val="0"/>
        <w:bCs/>
        <w:i w:val="0"/>
        <w:iCs w:val="0"/>
        <w:color w:val="auto"/>
        <w:sz w:val="21"/>
        <w:szCs w:val="21"/>
      </w:rPr>
    </w:lvl>
  </w:abstractNum>
  <w:abstractNum w:abstractNumId="1">
    <w:nsid w:val="243B8323"/>
    <w:multiLevelType w:val="singleLevel"/>
    <w:tmpl w:val="243B832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3EBA"/>
    <w:rsid w:val="15B77A9E"/>
    <w:rsid w:val="2C371548"/>
    <w:rsid w:val="2DD3396D"/>
    <w:rsid w:val="4086544F"/>
    <w:rsid w:val="42274E8F"/>
    <w:rsid w:val="45221AD3"/>
    <w:rsid w:val="555B0462"/>
    <w:rsid w:val="55B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3"/>
    <w:link w:val="10"/>
    <w:qFormat/>
    <w:uiPriority w:val="0"/>
    <w:pPr>
      <w:keepNext/>
      <w:numPr>
        <w:ilvl w:val="0"/>
        <w:numId w:val="1"/>
      </w:numPr>
      <w:snapToGrid/>
      <w:spacing w:before="2000" w:after="2000" w:line="240" w:lineRule="auto"/>
      <w:outlineLvl w:val="0"/>
    </w:pPr>
    <w:rPr>
      <w:rFonts w:hint="eastAsia" w:ascii="Book Antiqua" w:hAnsi="Book Antiqua" w:eastAsia="黑体" w:cs="Book Antiqua"/>
      <w:b/>
      <w:bCs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spacing w:before="50" w:beforeLines="50" w:after="50" w:afterLines="50" w:line="240" w:lineRule="auto"/>
      <w:outlineLvl w:val="1"/>
    </w:pPr>
    <w:rPr>
      <w:rFonts w:hint="eastAsia" w:ascii="Book Antiqua" w:hAnsi="Book Antiqua" w:eastAsia="汉仪文黑-55简" w:cs="Book Antiqua"/>
      <w:bCs/>
      <w:kern w:val="0"/>
      <w:sz w:val="32"/>
      <w:szCs w:val="36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character" w:customStyle="1" w:styleId="10">
    <w:name w:val="标题 1 字符"/>
    <w:basedOn w:val="9"/>
    <w:link w:val="2"/>
    <w:qFormat/>
    <w:uiPriority w:val="0"/>
    <w:rPr>
      <w:rFonts w:hint="eastAsia" w:ascii="Book Antiqua" w:hAnsi="Book Antiqua" w:eastAsia="黑体" w:cs="Book Antiqua"/>
      <w:b/>
      <w:bCs/>
      <w:kern w:val="2"/>
      <w:sz w:val="44"/>
      <w:szCs w:val="44"/>
    </w:rPr>
  </w:style>
  <w:style w:type="paragraph" w:customStyle="1" w:styleId="11">
    <w:name w:val="Block Label"/>
    <w:basedOn w:val="1"/>
    <w:qFormat/>
    <w:uiPriority w:val="0"/>
    <w:pPr>
      <w:numPr>
        <w:ilvl w:val="5"/>
        <w:numId w:val="1"/>
      </w:numPr>
    </w:pPr>
  </w:style>
  <w:style w:type="paragraph" w:customStyle="1" w:styleId="12">
    <w:name w:val="Step"/>
    <w:basedOn w:val="1"/>
    <w:qFormat/>
    <w:uiPriority w:val="0"/>
    <w:pPr>
      <w:numPr>
        <w:ilvl w:val="6"/>
        <w:numId w:val="1"/>
      </w:numPr>
      <w:ind w:left="1701" w:hanging="159"/>
    </w:pPr>
  </w:style>
  <w:style w:type="paragraph" w:customStyle="1" w:styleId="13">
    <w:name w:val="Figure Description"/>
    <w:basedOn w:val="1"/>
    <w:qFormat/>
    <w:uiPriority w:val="0"/>
    <w:pPr>
      <w:numPr>
        <w:ilvl w:val="7"/>
        <w:numId w:val="1"/>
      </w:numPr>
      <w:ind w:left="567"/>
    </w:pPr>
  </w:style>
  <w:style w:type="paragraph" w:customStyle="1" w:styleId="14">
    <w:name w:val="Table Description"/>
    <w:basedOn w:val="1"/>
    <w:qFormat/>
    <w:uiPriority w:val="0"/>
    <w:pPr>
      <w:numPr>
        <w:ilvl w:val="8"/>
        <w:numId w:val="1"/>
      </w:numPr>
      <w:ind w:left="1701"/>
    </w:pPr>
  </w:style>
  <w:style w:type="character" w:customStyle="1" w:styleId="15">
    <w:name w:val="标题 2 字符"/>
    <w:basedOn w:val="9"/>
    <w:link w:val="3"/>
    <w:qFormat/>
    <w:uiPriority w:val="0"/>
    <w:rPr>
      <w:rFonts w:hint="eastAsia" w:ascii="Book Antiqua" w:hAnsi="Book Antiqua" w:eastAsia="汉仪文黑-55简" w:cs="Book Antiqua"/>
      <w:bCs/>
      <w:sz w:val="32"/>
      <w:szCs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1443</Words>
  <Characters>1507</Characters>
  <Lines>0</Lines>
  <Paragraphs>0</Paragraphs>
  <TotalTime>0</TotalTime>
  <ScaleCrop>false</ScaleCrop>
  <LinksUpToDate>false</LinksUpToDate>
  <CharactersWithSpaces>1509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2024-08-19T01:28:00Z</dcterms:created>
  <dc:creator>www</dc:creator>
  <cp:lastModifiedBy>柱子</cp:lastModifiedBy>
  <dcterms:modified xsi:type="dcterms:W3CDTF">2026-04-24T01:09:57Z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7467C29200DA4C2992B3162EDDB25DAE_12</vt:lpwstr>
  </property>
  <property fmtid="{D5CDD505-2E9C-101B-9397-08002B2CF9AE}" pid="4" name="KSOTemplateDocerSaveRecord">
    <vt:lpwstr>eyJoZGlkIjoiYThjNDg4NWM3Njg0Zjk0ODI4NWZhZTkzYWM1MmUzZWUiLCJ1c2VySWQiOiIzODAyNDE5ODEifQ==</vt:lpwstr>
  </property>
</Properties>
</file>