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2702"/>
        <w:gridCol w:w="10324"/>
      </w:tblGrid>
      <w:tr w14:paraId="1D725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000" w:type="pct"/>
            <w:gridSpan w:val="3"/>
            <w:tcBorders>
              <w:tl2br w:val="nil"/>
              <w:tr2bl w:val="nil"/>
            </w:tcBorders>
            <w:noWrap/>
            <w:vAlign w:val="center"/>
          </w:tcPr>
          <w:p w14:paraId="6AE81C7B">
            <w:pPr>
              <w:pStyle w:val="43"/>
              <w:rPr>
                <w:rFonts w:hint="eastAsia" w:eastAsia="宋体"/>
                <w:b/>
                <w:bCs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东莞市</w:t>
            </w: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未成年人救助</w:t>
            </w:r>
            <w:r>
              <w:rPr>
                <w:rFonts w:hint="eastAsia"/>
                <w:b/>
                <w:bCs/>
                <w:sz w:val="36"/>
                <w:szCs w:val="36"/>
              </w:rPr>
              <w:t>保护中心安保服务内容</w:t>
            </w: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清单</w:t>
            </w:r>
          </w:p>
          <w:p w14:paraId="490D473A">
            <w:pPr>
              <w:ind w:firstLine="480"/>
              <w:rPr>
                <w:rFonts w:hint="eastAsia"/>
              </w:rPr>
            </w:pPr>
          </w:p>
        </w:tc>
      </w:tr>
      <w:tr w14:paraId="11382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05" w:type="pct"/>
            <w:tcBorders>
              <w:tl2br w:val="nil"/>
              <w:tr2bl w:val="nil"/>
            </w:tcBorders>
            <w:noWrap/>
            <w:vAlign w:val="center"/>
          </w:tcPr>
          <w:p w14:paraId="45D82302">
            <w:pPr>
              <w:pStyle w:val="43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 号</w:t>
            </w:r>
          </w:p>
        </w:tc>
        <w:tc>
          <w:tcPr>
            <w:tcW w:w="953" w:type="pct"/>
            <w:tcBorders>
              <w:tl2br w:val="nil"/>
              <w:tr2bl w:val="nil"/>
            </w:tcBorders>
            <w:noWrap/>
            <w:vAlign w:val="center"/>
          </w:tcPr>
          <w:p w14:paraId="0FC3D2A1">
            <w:pPr>
              <w:pStyle w:val="43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类  别</w:t>
            </w:r>
          </w:p>
        </w:tc>
        <w:tc>
          <w:tcPr>
            <w:tcW w:w="3642" w:type="pct"/>
            <w:tcBorders>
              <w:tl2br w:val="nil"/>
              <w:tr2bl w:val="nil"/>
            </w:tcBorders>
            <w:noWrap/>
            <w:vAlign w:val="center"/>
          </w:tcPr>
          <w:p w14:paraId="6674283A">
            <w:pPr>
              <w:pStyle w:val="43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服   务   内   容</w:t>
            </w:r>
          </w:p>
        </w:tc>
      </w:tr>
      <w:tr w14:paraId="5078E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405" w:type="pct"/>
            <w:tcBorders>
              <w:tl2br w:val="nil"/>
              <w:tr2bl w:val="nil"/>
            </w:tcBorders>
            <w:noWrap/>
            <w:vAlign w:val="center"/>
          </w:tcPr>
          <w:p w14:paraId="331719D4">
            <w:pPr>
              <w:pStyle w:val="43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953" w:type="pct"/>
            <w:tcBorders>
              <w:tl2br w:val="nil"/>
              <w:tr2bl w:val="nil"/>
            </w:tcBorders>
            <w:noWrap/>
            <w:vAlign w:val="center"/>
          </w:tcPr>
          <w:p w14:paraId="1846B535">
            <w:pPr>
              <w:pStyle w:val="43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门岗服务</w:t>
            </w:r>
          </w:p>
        </w:tc>
        <w:tc>
          <w:tcPr>
            <w:tcW w:w="3642" w:type="pct"/>
            <w:tcBorders>
              <w:tl2br w:val="nil"/>
              <w:tr2bl w:val="nil"/>
            </w:tcBorders>
            <w:vAlign w:val="center"/>
          </w:tcPr>
          <w:p w14:paraId="0E43DD9F">
            <w:pPr>
              <w:pStyle w:val="43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（1）24小时值班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并</w:t>
            </w:r>
            <w:r>
              <w:rPr>
                <w:rFonts w:hint="eastAsia"/>
                <w:sz w:val="24"/>
                <w:szCs w:val="24"/>
              </w:rPr>
              <w:t>做好交接班登记，严格执行出入登记制度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协助开展</w:t>
            </w:r>
            <w:r>
              <w:rPr>
                <w:rFonts w:hint="eastAsia"/>
                <w:sz w:val="24"/>
                <w:szCs w:val="24"/>
              </w:rPr>
              <w:t>服务对象安全检查。</w:t>
            </w:r>
          </w:p>
          <w:p w14:paraId="6BA267E6">
            <w:pPr>
              <w:pStyle w:val="43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（2）开展安全应急培训、</w:t>
            </w:r>
            <w:r>
              <w:rPr>
                <w:rFonts w:hint="eastAsia"/>
                <w:sz w:val="24"/>
                <w:szCs w:val="24"/>
              </w:rPr>
              <w:t>处理各种应急突发事件</w:t>
            </w:r>
            <w:r>
              <w:rPr>
                <w:rFonts w:hint="eastAsia"/>
                <w:sz w:val="24"/>
                <w:szCs w:val="24"/>
                <w:lang w:eastAsia="zh-CN"/>
              </w:rPr>
              <w:t>，发现异常情形及时报告处置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14:paraId="16640134">
            <w:pPr>
              <w:pStyle w:val="43"/>
              <w:jc w:val="both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3）严格遵守未保中心有关管理规定，积极配合未保中心的值守调度安排。</w:t>
            </w:r>
          </w:p>
        </w:tc>
      </w:tr>
      <w:tr w14:paraId="1C655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405" w:type="pct"/>
            <w:tcBorders>
              <w:tl2br w:val="nil"/>
              <w:tr2bl w:val="nil"/>
            </w:tcBorders>
            <w:noWrap/>
            <w:vAlign w:val="center"/>
          </w:tcPr>
          <w:p w14:paraId="48F07A9A">
            <w:pPr>
              <w:pStyle w:val="43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3" w:type="pct"/>
            <w:tcBorders>
              <w:tl2br w:val="nil"/>
              <w:tr2bl w:val="nil"/>
            </w:tcBorders>
            <w:vAlign w:val="center"/>
          </w:tcPr>
          <w:p w14:paraId="4C9C4601">
            <w:pPr>
              <w:pStyle w:val="43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巡逻服务</w:t>
            </w:r>
          </w:p>
        </w:tc>
        <w:tc>
          <w:tcPr>
            <w:tcW w:w="3642" w:type="pct"/>
            <w:tcBorders>
              <w:tl2br w:val="nil"/>
              <w:tr2bl w:val="nil"/>
            </w:tcBorders>
            <w:vAlign w:val="center"/>
          </w:tcPr>
          <w:p w14:paraId="148F929A">
            <w:pPr>
              <w:pStyle w:val="43"/>
              <w:numPr>
                <w:ilvl w:val="0"/>
                <w:numId w:val="2"/>
              </w:num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实行值班巡逻，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白天和夜间至少每2小时巡逻1次，</w:t>
            </w:r>
            <w:r>
              <w:rPr>
                <w:rFonts w:hint="eastAsia"/>
                <w:sz w:val="24"/>
                <w:szCs w:val="24"/>
              </w:rPr>
              <w:t>保障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未成年人</w:t>
            </w:r>
            <w:r>
              <w:rPr>
                <w:rFonts w:hint="eastAsia"/>
                <w:sz w:val="24"/>
                <w:szCs w:val="24"/>
              </w:rPr>
              <w:t>中心项目安全巡查。</w:t>
            </w:r>
            <w:r>
              <w:rPr>
                <w:rFonts w:hint="eastAsia"/>
                <w:sz w:val="24"/>
                <w:szCs w:val="24"/>
              </w:rPr>
              <w:br w:type="textWrapping"/>
            </w:r>
            <w:r>
              <w:rPr>
                <w:rFonts w:hint="eastAsia"/>
                <w:sz w:val="24"/>
                <w:szCs w:val="24"/>
              </w:rPr>
              <w:t>（2）按要求做好监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控值班值守，完善监控室管理，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积极</w:t>
            </w:r>
            <w:r>
              <w:rPr>
                <w:rFonts w:hint="eastAsia"/>
                <w:sz w:val="24"/>
                <w:szCs w:val="24"/>
              </w:rPr>
              <w:t>配合未保中心的值守调度安排。</w:t>
            </w:r>
          </w:p>
          <w:p w14:paraId="44E17230">
            <w:pPr>
              <w:pStyle w:val="43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（3）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严格遵守未保中心有关管理规定，配合警务联络点应急联动，</w:t>
            </w:r>
            <w:r>
              <w:rPr>
                <w:rFonts w:hint="eastAsia"/>
                <w:sz w:val="24"/>
                <w:szCs w:val="24"/>
              </w:rPr>
              <w:t>参与突发事件、消防灭火、人员疏散等应急处置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  <w:tr w14:paraId="1B636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</w:trPr>
        <w:tc>
          <w:tcPr>
            <w:tcW w:w="405" w:type="pct"/>
            <w:tcBorders>
              <w:tl2br w:val="nil"/>
              <w:tr2bl w:val="nil"/>
            </w:tcBorders>
            <w:noWrap/>
            <w:vAlign w:val="center"/>
          </w:tcPr>
          <w:p w14:paraId="61F6780C">
            <w:pPr>
              <w:pStyle w:val="43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53" w:type="pct"/>
            <w:tcBorders>
              <w:tl2br w:val="nil"/>
              <w:tr2bl w:val="nil"/>
            </w:tcBorders>
            <w:vAlign w:val="center"/>
          </w:tcPr>
          <w:p w14:paraId="44EE7FA9">
            <w:pPr>
              <w:pStyle w:val="43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护送服务</w:t>
            </w:r>
          </w:p>
        </w:tc>
        <w:tc>
          <w:tcPr>
            <w:tcW w:w="3642" w:type="pct"/>
            <w:tcBorders>
              <w:tl2br w:val="nil"/>
              <w:tr2bl w:val="nil"/>
            </w:tcBorders>
            <w:vAlign w:val="center"/>
          </w:tcPr>
          <w:p w14:paraId="6E3FAB97">
            <w:pPr>
              <w:pStyle w:val="43"/>
              <w:numPr>
                <w:ilvl w:val="0"/>
                <w:numId w:val="3"/>
              </w:numPr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协助开展服务对象在业务办理、转送区域和送医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护送返乡</w:t>
            </w:r>
            <w:r>
              <w:rPr>
                <w:rFonts w:hint="eastAsia"/>
                <w:sz w:val="24"/>
                <w:szCs w:val="24"/>
              </w:rPr>
              <w:t>途中的安全保卫工作等。</w:t>
            </w:r>
          </w:p>
          <w:p w14:paraId="236097A4">
            <w:pPr>
              <w:pStyle w:val="43"/>
              <w:numPr>
                <w:ilvl w:val="0"/>
                <w:numId w:val="3"/>
              </w:num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严格遵守未保中心有关管理规定，积极配合未保中心的值守调度安排。</w:t>
            </w:r>
          </w:p>
        </w:tc>
      </w:tr>
    </w:tbl>
    <w:p w14:paraId="400F9350">
      <w:pPr>
        <w:ind w:firstLine="480"/>
      </w:pPr>
    </w:p>
    <w:p w14:paraId="300A35A0">
      <w:pPr>
        <w:spacing w:line="480" w:lineRule="auto"/>
        <w:ind w:firstLine="8220" w:firstLineChars="2569"/>
        <w:jc w:val="center"/>
        <w:rPr>
          <w:rFonts w:hint="eastAsia"/>
          <w:sz w:val="32"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4431E">
    <w:pPr>
      <w:pStyle w:val="14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F0603E">
    <w:pPr>
      <w:pStyle w:val="14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59959C">
    <w:pPr>
      <w:pStyle w:val="14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703B10">
    <w:pPr>
      <w:pStyle w:val="15"/>
      <w:pBdr>
        <w:bottom w:val="none" w:color="auto" w:sz="0" w:space="0"/>
      </w:pBdr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3769F">
    <w:pPr>
      <w:pStyle w:val="15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79A32">
    <w:pPr>
      <w:pStyle w:val="15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D69635"/>
    <w:multiLevelType w:val="singleLevel"/>
    <w:tmpl w:val="E8D6963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87C9CFA"/>
    <w:multiLevelType w:val="singleLevel"/>
    <w:tmpl w:val="F87C9CFA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7EDB6A4C"/>
    <w:multiLevelType w:val="multilevel"/>
    <w:tmpl w:val="7EDB6A4C"/>
    <w:lvl w:ilvl="0" w:tentative="0">
      <w:start w:val="1"/>
      <w:numFmt w:val="chineseCountingThousand"/>
      <w:pStyle w:val="2"/>
      <w:suff w:val="nothing"/>
      <w:lvlText w:val="第%1章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pStyle w:val="3"/>
      <w:suff w:val="nothing"/>
      <w:lvlText w:val="第%2节、"/>
      <w:lvlJc w:val="left"/>
      <w:pPr>
        <w:ind w:left="0" w:firstLine="0"/>
      </w:pPr>
      <w:rPr>
        <w:rFonts w:hint="eastAsia"/>
      </w:rPr>
    </w:lvl>
    <w:lvl w:ilvl="2" w:tentative="0">
      <w:start w:val="1"/>
      <w:numFmt w:val="chineseCountingThousand"/>
      <w:pStyle w:val="4"/>
      <w:suff w:val="nothing"/>
      <w:lvlText w:val="（%3）"/>
      <w:lvlJc w:val="left"/>
      <w:pPr>
        <w:ind w:left="0" w:firstLine="0"/>
      </w:pPr>
      <w:rPr>
        <w:rFonts w:hint="eastAsia"/>
      </w:rPr>
    </w:lvl>
    <w:lvl w:ilvl="3" w:tentative="0">
      <w:start w:val="1"/>
      <w:numFmt w:val="chineseCountingThousand"/>
      <w:pStyle w:val="5"/>
      <w:suff w:val="nothing"/>
      <w:lvlText w:val="%4）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pStyle w:val="6"/>
      <w:suff w:val="nothing"/>
      <w:lvlText w:val="%2.%3.%4.%5.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44D"/>
    <w:rsid w:val="002C2E30"/>
    <w:rsid w:val="00491878"/>
    <w:rsid w:val="00521F5A"/>
    <w:rsid w:val="008C0B81"/>
    <w:rsid w:val="0099444D"/>
    <w:rsid w:val="00996DCD"/>
    <w:rsid w:val="00C84653"/>
    <w:rsid w:val="00F1114F"/>
    <w:rsid w:val="0D435D31"/>
    <w:rsid w:val="129C6D89"/>
    <w:rsid w:val="185C3FE2"/>
    <w:rsid w:val="18B05271"/>
    <w:rsid w:val="202B3AD6"/>
    <w:rsid w:val="22896E39"/>
    <w:rsid w:val="24F56F32"/>
    <w:rsid w:val="27065CA2"/>
    <w:rsid w:val="2CF05A49"/>
    <w:rsid w:val="30D8492C"/>
    <w:rsid w:val="36016F74"/>
    <w:rsid w:val="388F04E2"/>
    <w:rsid w:val="430E5E5C"/>
    <w:rsid w:val="49431DC1"/>
    <w:rsid w:val="4A0D4D0D"/>
    <w:rsid w:val="4A921A99"/>
    <w:rsid w:val="4F334FFF"/>
    <w:rsid w:val="50ED7854"/>
    <w:rsid w:val="5525713B"/>
    <w:rsid w:val="58695A9C"/>
    <w:rsid w:val="68BD6966"/>
    <w:rsid w:val="6D46474B"/>
    <w:rsid w:val="6F884D8A"/>
    <w:rsid w:val="764B5DA3"/>
    <w:rsid w:val="7A4259A3"/>
    <w:rsid w:val="7A4A0831"/>
    <w:rsid w:val="7C42096C"/>
    <w:rsid w:val="7DBB33E4"/>
    <w:rsid w:val="7ED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keepLines/>
      <w:numPr>
        <w:ilvl w:val="0"/>
        <w:numId w:val="1"/>
      </w:numPr>
      <w:ind w:firstLineChars="0"/>
      <w:jc w:val="center"/>
      <w:outlineLvl w:val="0"/>
    </w:pPr>
    <w:rPr>
      <w:rFonts w:cs="宋体"/>
      <w:bCs/>
      <w:kern w:val="44"/>
      <w:szCs w:val="44"/>
    </w:rPr>
  </w:style>
  <w:style w:type="paragraph" w:styleId="3">
    <w:name w:val="heading 2"/>
    <w:basedOn w:val="1"/>
    <w:next w:val="1"/>
    <w:link w:val="22"/>
    <w:semiHidden/>
    <w:unhideWhenUsed/>
    <w:qFormat/>
    <w:uiPriority w:val="0"/>
    <w:pPr>
      <w:keepNext/>
      <w:keepLines/>
      <w:numPr>
        <w:ilvl w:val="1"/>
        <w:numId w:val="1"/>
      </w:numPr>
      <w:ind w:firstLineChars="0"/>
      <w:outlineLvl w:val="1"/>
    </w:pPr>
    <w:rPr>
      <w:rFonts w:cstheme="majorBidi"/>
      <w:bCs/>
      <w:szCs w:val="32"/>
    </w:rPr>
  </w:style>
  <w:style w:type="paragraph" w:styleId="4">
    <w:name w:val="heading 3"/>
    <w:basedOn w:val="1"/>
    <w:next w:val="1"/>
    <w:link w:val="23"/>
    <w:qFormat/>
    <w:uiPriority w:val="0"/>
    <w:pPr>
      <w:keepNext/>
      <w:keepLines/>
      <w:numPr>
        <w:ilvl w:val="2"/>
        <w:numId w:val="1"/>
      </w:numPr>
      <w:ind w:firstLineChars="0"/>
      <w:outlineLvl w:val="2"/>
    </w:pPr>
    <w:rPr>
      <w:rFonts w:cs="宋体"/>
      <w:bCs/>
      <w:szCs w:val="28"/>
    </w:rPr>
  </w:style>
  <w:style w:type="paragraph" w:styleId="5">
    <w:name w:val="heading 4"/>
    <w:basedOn w:val="1"/>
    <w:next w:val="1"/>
    <w:link w:val="24"/>
    <w:semiHidden/>
    <w:unhideWhenUsed/>
    <w:qFormat/>
    <w:uiPriority w:val="0"/>
    <w:pPr>
      <w:keepNext/>
      <w:keepLines/>
      <w:numPr>
        <w:ilvl w:val="3"/>
        <w:numId w:val="1"/>
      </w:numPr>
      <w:ind w:firstLineChars="0"/>
      <w:outlineLvl w:val="3"/>
    </w:pPr>
    <w:rPr>
      <w:rFonts w:cstheme="majorBidi"/>
      <w:bCs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0"/>
    <w:pPr>
      <w:keepNext/>
      <w:keepLines/>
      <w:numPr>
        <w:ilvl w:val="4"/>
        <w:numId w:val="1"/>
      </w:numPr>
      <w:ind w:firstLineChars="0"/>
      <w:outlineLvl w:val="4"/>
    </w:pPr>
    <w:rPr>
      <w:rFonts w:cs="宋体"/>
      <w:bCs/>
      <w:szCs w:val="28"/>
    </w:rPr>
  </w:style>
  <w:style w:type="paragraph" w:styleId="7">
    <w:name w:val="heading 6"/>
    <w:basedOn w:val="1"/>
    <w:next w:val="1"/>
    <w:link w:val="26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paragraph" w:styleId="8">
    <w:name w:val="heading 7"/>
    <w:basedOn w:val="1"/>
    <w:next w:val="1"/>
    <w:link w:val="27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rFonts w:cs="宋体"/>
      <w:b/>
      <w:bCs/>
    </w:rPr>
  </w:style>
  <w:style w:type="paragraph" w:styleId="9">
    <w:name w:val="heading 8"/>
    <w:basedOn w:val="1"/>
    <w:next w:val="1"/>
    <w:link w:val="28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</w:rPr>
  </w:style>
  <w:style w:type="paragraph" w:styleId="10">
    <w:name w:val="heading 9"/>
    <w:basedOn w:val="1"/>
    <w:next w:val="1"/>
    <w:link w:val="29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 w:val="21"/>
      <w:szCs w:val="21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a heading"/>
    <w:basedOn w:val="1"/>
    <w:next w:val="1"/>
    <w:qFormat/>
    <w:uiPriority w:val="0"/>
    <w:pPr>
      <w:autoSpaceDE w:val="0"/>
      <w:autoSpaceDN w:val="0"/>
      <w:adjustRightInd w:val="0"/>
      <w:snapToGrid w:val="0"/>
      <w:spacing w:before="120"/>
    </w:pPr>
    <w:rPr>
      <w:rFonts w:ascii="Arial" w:hAnsi="Arial" w:cs="Times New Roman"/>
      <w:snapToGrid w:val="0"/>
      <w:color w:val="000000"/>
      <w:kern w:val="0"/>
      <w:szCs w:val="20"/>
    </w:rPr>
  </w:style>
  <w:style w:type="paragraph" w:styleId="12">
    <w:name w:val="Body Text Indent"/>
    <w:basedOn w:val="1"/>
    <w:link w:val="41"/>
    <w:qFormat/>
    <w:uiPriority w:val="0"/>
    <w:pPr>
      <w:spacing w:after="120"/>
      <w:ind w:left="420" w:leftChars="200"/>
    </w:pPr>
    <w:rPr>
      <w:rFonts w:cs="Times New Roman"/>
    </w:rPr>
  </w:style>
  <w:style w:type="paragraph" w:styleId="13">
    <w:name w:val="Date"/>
    <w:basedOn w:val="1"/>
    <w:next w:val="1"/>
    <w:link w:val="42"/>
    <w:qFormat/>
    <w:uiPriority w:val="0"/>
    <w:rPr>
      <w:rFonts w:cs="Times New Roman"/>
      <w:szCs w:val="20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1"/>
    <w:qFormat/>
    <w:uiPriority w:val="0"/>
    <w:pPr>
      <w:spacing w:before="240" w:after="60" w:line="312" w:lineRule="auto"/>
      <w:jc w:val="center"/>
      <w:outlineLvl w:val="1"/>
    </w:pPr>
    <w:rPr>
      <w:rFonts w:asciiTheme="minorHAnsi" w:hAnsiTheme="minorHAnsi" w:eastAsiaTheme="minorEastAsia"/>
      <w:b/>
      <w:bCs/>
      <w:kern w:val="28"/>
      <w:sz w:val="32"/>
      <w:szCs w:val="32"/>
    </w:rPr>
  </w:style>
  <w:style w:type="paragraph" w:styleId="1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15"/>
      <w:szCs w:val="15"/>
    </w:rPr>
  </w:style>
  <w:style w:type="paragraph" w:styleId="18">
    <w:name w:val="Title"/>
    <w:basedOn w:val="1"/>
    <w:next w:val="1"/>
    <w:link w:val="30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1 字符"/>
    <w:basedOn w:val="20"/>
    <w:link w:val="2"/>
    <w:qFormat/>
    <w:uiPriority w:val="0"/>
    <w:rPr>
      <w:rFonts w:ascii="宋体" w:hAnsi="宋体" w:eastAsia="宋体" w:cs="宋体"/>
      <w:bCs/>
      <w:kern w:val="44"/>
      <w:sz w:val="24"/>
      <w:szCs w:val="44"/>
    </w:rPr>
  </w:style>
  <w:style w:type="character" w:customStyle="1" w:styleId="22">
    <w:name w:val="标题 2 字符"/>
    <w:basedOn w:val="20"/>
    <w:link w:val="3"/>
    <w:semiHidden/>
    <w:qFormat/>
    <w:uiPriority w:val="0"/>
    <w:rPr>
      <w:rFonts w:ascii="宋体" w:hAnsi="宋体" w:eastAsia="宋体" w:cstheme="majorBidi"/>
      <w:bCs/>
      <w:kern w:val="2"/>
      <w:sz w:val="24"/>
      <w:szCs w:val="32"/>
    </w:rPr>
  </w:style>
  <w:style w:type="character" w:customStyle="1" w:styleId="23">
    <w:name w:val="标题 3 字符"/>
    <w:basedOn w:val="20"/>
    <w:link w:val="4"/>
    <w:qFormat/>
    <w:uiPriority w:val="0"/>
    <w:rPr>
      <w:rFonts w:ascii="宋体" w:hAnsi="宋体" w:eastAsia="宋体" w:cs="宋体"/>
      <w:bCs/>
      <w:kern w:val="2"/>
      <w:sz w:val="24"/>
      <w:szCs w:val="28"/>
    </w:rPr>
  </w:style>
  <w:style w:type="character" w:customStyle="1" w:styleId="24">
    <w:name w:val="标题 4 字符"/>
    <w:basedOn w:val="20"/>
    <w:link w:val="5"/>
    <w:semiHidden/>
    <w:qFormat/>
    <w:uiPriority w:val="0"/>
    <w:rPr>
      <w:rFonts w:ascii="宋体" w:hAnsi="宋体" w:eastAsia="宋体" w:cstheme="majorBidi"/>
      <w:bCs/>
      <w:kern w:val="2"/>
      <w:sz w:val="24"/>
      <w:szCs w:val="28"/>
    </w:rPr>
  </w:style>
  <w:style w:type="character" w:customStyle="1" w:styleId="25">
    <w:name w:val="标题 5 字符"/>
    <w:basedOn w:val="20"/>
    <w:link w:val="6"/>
    <w:semiHidden/>
    <w:qFormat/>
    <w:uiPriority w:val="0"/>
    <w:rPr>
      <w:rFonts w:ascii="宋体" w:hAnsi="宋体" w:eastAsia="宋体" w:cs="宋体"/>
      <w:bCs/>
      <w:kern w:val="2"/>
      <w:sz w:val="24"/>
      <w:szCs w:val="28"/>
    </w:rPr>
  </w:style>
  <w:style w:type="character" w:customStyle="1" w:styleId="26">
    <w:name w:val="标题 6 字符"/>
    <w:basedOn w:val="20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7">
    <w:name w:val="标题 7 字符"/>
    <w:basedOn w:val="20"/>
    <w:link w:val="8"/>
    <w:semiHidden/>
    <w:qFormat/>
    <w:uiPriority w:val="0"/>
    <w:rPr>
      <w:rFonts w:ascii="宋体" w:hAnsi="宋体" w:eastAsia="宋体" w:cs="宋体"/>
      <w:b/>
      <w:bCs/>
      <w:kern w:val="2"/>
      <w:sz w:val="24"/>
      <w:szCs w:val="24"/>
    </w:rPr>
  </w:style>
  <w:style w:type="character" w:customStyle="1" w:styleId="28">
    <w:name w:val="标题 8 字符"/>
    <w:basedOn w:val="20"/>
    <w:link w:val="9"/>
    <w:semiHidden/>
    <w:qFormat/>
    <w:uiPriority w:val="0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9">
    <w:name w:val="标题 9 字符"/>
    <w:basedOn w:val="20"/>
    <w:link w:val="10"/>
    <w:semiHidden/>
    <w:qFormat/>
    <w:uiPriority w:val="0"/>
    <w:rPr>
      <w:rFonts w:asciiTheme="majorHAnsi" w:hAnsiTheme="majorHAnsi" w:eastAsiaTheme="majorEastAsia" w:cstheme="majorBidi"/>
      <w:kern w:val="2"/>
      <w:sz w:val="21"/>
      <w:szCs w:val="21"/>
    </w:rPr>
  </w:style>
  <w:style w:type="character" w:customStyle="1" w:styleId="30">
    <w:name w:val="标题 字符"/>
    <w:basedOn w:val="20"/>
    <w:link w:val="1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1">
    <w:name w:val="副标题 字符"/>
    <w:basedOn w:val="20"/>
    <w:link w:val="16"/>
    <w:qFormat/>
    <w:uiPriority w:val="0"/>
    <w:rPr>
      <w:b/>
      <w:bCs/>
      <w:kern w:val="28"/>
      <w:sz w:val="32"/>
      <w:szCs w:val="32"/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20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20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2E75B5" w:themeColor="accent1" w:themeShade="BF" w:sz="4" w:space="10"/>
        <w:bottom w:val="single" w:color="2E75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5B6" w:themeColor="accent1" w:themeShade="BF"/>
    </w:rPr>
  </w:style>
  <w:style w:type="character" w:customStyle="1" w:styleId="37">
    <w:name w:val="明显引用 字符"/>
    <w:basedOn w:val="20"/>
    <w:link w:val="36"/>
    <w:qFormat/>
    <w:uiPriority w:val="30"/>
    <w:rPr>
      <w:i/>
      <w:iCs/>
      <w:color w:val="2E75B6" w:themeColor="accent1" w:themeShade="BF"/>
    </w:rPr>
  </w:style>
  <w:style w:type="character" w:customStyle="1" w:styleId="38">
    <w:name w:val="Intense Reference"/>
    <w:basedOn w:val="20"/>
    <w:qFormat/>
    <w:uiPriority w:val="32"/>
    <w:rPr>
      <w:b/>
      <w:bCs/>
      <w:smallCaps/>
      <w:color w:val="5B9BD5" w:themeColor="accent1"/>
      <w:spacing w:val="5"/>
      <w14:textFill>
        <w14:solidFill>
          <w14:schemeClr w14:val="accent1"/>
        </w14:solidFill>
      </w14:textFill>
    </w:rPr>
  </w:style>
  <w:style w:type="character" w:customStyle="1" w:styleId="39">
    <w:name w:val="页眉 字符"/>
    <w:basedOn w:val="20"/>
    <w:link w:val="15"/>
    <w:qFormat/>
    <w:uiPriority w:val="0"/>
    <w:rPr>
      <w:rFonts w:ascii="宋体" w:hAnsi="宋体" w:eastAsia="宋体"/>
      <w:kern w:val="2"/>
      <w:sz w:val="18"/>
      <w:szCs w:val="18"/>
    </w:rPr>
  </w:style>
  <w:style w:type="character" w:customStyle="1" w:styleId="40">
    <w:name w:val="页脚 字符"/>
    <w:basedOn w:val="20"/>
    <w:link w:val="14"/>
    <w:qFormat/>
    <w:uiPriority w:val="99"/>
    <w:rPr>
      <w:rFonts w:ascii="宋体" w:hAnsi="宋体" w:eastAsia="宋体"/>
      <w:kern w:val="2"/>
      <w:sz w:val="18"/>
      <w:szCs w:val="18"/>
    </w:rPr>
  </w:style>
  <w:style w:type="character" w:customStyle="1" w:styleId="41">
    <w:name w:val="正文文本缩进 字符"/>
    <w:basedOn w:val="20"/>
    <w:link w:val="12"/>
    <w:qFormat/>
    <w:uiPriority w:val="0"/>
    <w:rPr>
      <w:rFonts w:ascii="宋体" w:hAnsi="宋体" w:eastAsia="宋体" w:cs="Times New Roman"/>
      <w:kern w:val="2"/>
      <w:sz w:val="24"/>
      <w:szCs w:val="24"/>
    </w:rPr>
  </w:style>
  <w:style w:type="character" w:customStyle="1" w:styleId="42">
    <w:name w:val="日期 字符"/>
    <w:basedOn w:val="20"/>
    <w:link w:val="13"/>
    <w:qFormat/>
    <w:uiPriority w:val="0"/>
    <w:rPr>
      <w:rFonts w:ascii="宋体" w:hAnsi="宋体" w:eastAsia="宋体" w:cs="Times New Roman"/>
      <w:kern w:val="2"/>
      <w:sz w:val="24"/>
    </w:rPr>
  </w:style>
  <w:style w:type="paragraph" w:customStyle="1" w:styleId="43">
    <w:name w:val="图表1"/>
    <w:basedOn w:val="1"/>
    <w:next w:val="1"/>
    <w:link w:val="44"/>
    <w:qFormat/>
    <w:uiPriority w:val="0"/>
    <w:pPr>
      <w:spacing w:line="480" w:lineRule="auto"/>
      <w:ind w:firstLine="0" w:firstLineChars="0"/>
      <w:jc w:val="center"/>
    </w:pPr>
  </w:style>
  <w:style w:type="character" w:customStyle="1" w:styleId="44">
    <w:name w:val="图表1 字符"/>
    <w:basedOn w:val="20"/>
    <w:link w:val="43"/>
    <w:qFormat/>
    <w:uiPriority w:val="0"/>
    <w:rPr>
      <w:rFonts w:ascii="宋体" w:hAnsi="宋体" w:eastAsia="宋体"/>
      <w:kern w:val="2"/>
      <w:sz w:val="24"/>
      <w:szCs w:val="24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numPr>
        <w:numId w:val="0"/>
      </w:numPr>
      <w:spacing w:before="340" w:after="330" w:line="578" w:lineRule="auto"/>
      <w:ind w:firstLine="200" w:firstLineChars="200"/>
      <w:jc w:val="both"/>
      <w:outlineLvl w:val="9"/>
    </w:pPr>
    <w:rPr>
      <w:rFonts w:cstheme="majorBidi"/>
      <w:b/>
      <w:sz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</Words>
  <Characters>125</Characters>
  <Lines>8</Lines>
  <Paragraphs>8</Paragraphs>
  <TotalTime>9</TotalTime>
  <ScaleCrop>false</ScaleCrop>
  <LinksUpToDate>false</LinksUpToDate>
  <CharactersWithSpaces>234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2026-06-10T09:35:00Z</dcterms:created>
  <dc:creator>ARWEN</dc:creator>
  <cp:lastModifiedBy>Administrator</cp:lastModifiedBy>
  <dcterms:modified xsi:type="dcterms:W3CDTF">2026-06-15T07:56:52Z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19D5920D245A4D168D582FEE33E61D9E_12</vt:lpwstr>
  </property>
</Properties>
</file>