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</w:rPr>
              <w:t>“莞爱童行”东莞市流动儿童</w:t>
            </w: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</w:rPr>
              <w:t>服务专业支持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>
      <w:pPr>
        <w:autoSpaceDE w:val="0"/>
        <w:autoSpaceDN w:val="0"/>
        <w:rPr>
          <w:rFonts w:hint="eastAsia" w:ascii="Times New Roman" w:hAnsi="Times New Roman" w:eastAsia="仿宋"/>
          <w:color w:val="auto"/>
          <w:sz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rPr>
          <w:rFonts w:hint="eastAsia" w:ascii="Times New Roman" w:hAnsi="Times New Roman" w:eastAsia="仿宋"/>
          <w:color w:val="auto"/>
          <w:sz w:val="28"/>
          <w:highlight w:val="none"/>
        </w:rPr>
      </w:pPr>
      <w:r>
        <w:rPr>
          <w:rFonts w:hint="eastAsia" w:ascii="Times New Roman" w:hAnsi="Times New Roman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Times New Roman" w:hAnsi="Times New Roman" w:eastAsia="仿宋"/>
          <w:color w:val="auto"/>
          <w:sz w:val="28"/>
          <w:highlight w:val="none"/>
        </w:rPr>
        <w:t>1.响应供应商须按要求填写所有信息，不得随意更改本表格式。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rPr>
          <w:rFonts w:hint="eastAsia" w:ascii="Times New Roman" w:hAnsi="Times New Roman" w:eastAsia="仿宋"/>
          <w:color w:val="auto"/>
          <w:sz w:val="28"/>
          <w:highlight w:val="none"/>
        </w:rPr>
      </w:pPr>
      <w:r>
        <w:rPr>
          <w:rFonts w:hint="eastAsia" w:ascii="Times New Roman" w:hAnsi="Times New Roman" w:eastAsia="仿宋"/>
          <w:color w:val="auto"/>
          <w:sz w:val="28"/>
          <w:highlight w:val="none"/>
        </w:rPr>
        <w:t>2.报价最多保留小数点后两位，超过预算限价作无效处理。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3.报价应为人民币含税总价，并应包含完成本项目所需的全部费用，包含但不限于人工、师资、场地、物料、交通、督导、督查、报告撰写、管理、税费及利润等所有相关费用。采购人不再支付任何其他费用。</w:t>
      </w:r>
    </w:p>
    <w:p>
      <w:pPr>
        <w:pStyle w:val="2"/>
        <w:rPr>
          <w:rFonts w:hint="eastAsia" w:ascii="Times New Roman" w:hAnsi="Times New Roman" w:eastAsia="仿宋"/>
          <w:color w:val="auto"/>
          <w:sz w:val="28"/>
          <w:highlight w:val="none"/>
        </w:rPr>
      </w:pPr>
    </w:p>
    <w:p>
      <w:pPr>
        <w:pStyle w:val="2"/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  （盖章）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00" w:lineRule="auto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>
      <w:pPr>
        <w:spacing w:line="300" w:lineRule="auto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00" w:lineRule="auto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>
      <w:pPr>
        <w:spacing w:line="360" w:lineRule="auto"/>
        <w:ind w:left="0" w:leftChars="0" w:firstLine="4419" w:firstLineChars="1637"/>
        <w:jc w:val="left"/>
        <w:rPr>
          <w:rFonts w:hint="eastAsia"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    期：       年    月    日</w:t>
      </w:r>
    </w:p>
    <w:p>
      <w:pPr>
        <w:pStyle w:val="2"/>
        <w:rPr>
          <w:rFonts w:hint="eastAsia" w:eastAsia="宋体"/>
          <w:lang w:eastAsia="zh-CN"/>
        </w:rPr>
      </w:pPr>
    </w:p>
    <w:p/>
    <w:p>
      <w:bookmarkStart w:id="0" w:name="_GoBack"/>
      <w:bookmarkEnd w:id="0"/>
    </w:p>
    <w:sectPr>
      <w:pgSz w:w="11907" w:h="16840"/>
      <w:pgMar w:top="2098" w:right="1474" w:bottom="1984" w:left="1587" w:header="851" w:footer="1474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3597"/>
    <w:rsid w:val="4D3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2026-06-25T08:05:00Z</dcterms:created>
  <dc:creator>卢凯曦</dc:creator>
  <cp:lastModifiedBy>卢凯曦</cp:lastModifiedBy>
  <dcterms:modified xsi:type="dcterms:W3CDTF">2026-06-25T08:06:32Z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