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151C6">
      <w:pPr>
        <w:bidi w:val="0"/>
        <w:jc w:val="center"/>
        <w:rPr>
          <w:rFonts w:hint="eastAsia" w:eastAsia="宋体"/>
          <w:b/>
          <w:bCs/>
          <w:color w:val="auto"/>
          <w:sz w:val="32"/>
          <w:szCs w:val="32"/>
          <w:lang w:val="en-US" w:eastAsia="zh-CN"/>
        </w:rPr>
      </w:pPr>
      <w:bookmarkStart w:id="0" w:name="_Toc22057"/>
      <w:bookmarkStart w:id="1" w:name="_Toc4704"/>
      <w:bookmarkStart w:id="2" w:name="_Toc18119"/>
      <w:r>
        <w:rPr>
          <w:rFonts w:hint="eastAsia"/>
          <w:b/>
          <w:bCs/>
          <w:color w:val="auto"/>
          <w:sz w:val="32"/>
          <w:szCs w:val="32"/>
          <w:lang w:val="en-US" w:eastAsia="zh-CN"/>
        </w:rPr>
        <w:t>东莞市救助管理站员工食堂副食品采购配送项目合同书</w:t>
      </w:r>
    </w:p>
    <w:p w14:paraId="103DA89E">
      <w:pPr>
        <w:bidi w:val="0"/>
        <w:jc w:val="center"/>
        <w:rPr>
          <w:rFonts w:hint="eastAsia"/>
          <w:color w:val="auto"/>
        </w:rPr>
      </w:pPr>
      <w:r>
        <w:rPr>
          <w:rFonts w:hint="eastAsia"/>
          <w:color w:val="auto"/>
        </w:rPr>
        <w:t>（此仅为合同书样本，</w:t>
      </w:r>
      <w:r>
        <w:rPr>
          <w:rFonts w:hint="eastAsia"/>
          <w:color w:val="auto"/>
          <w:lang w:val="en-US" w:eastAsia="zh-CN"/>
        </w:rPr>
        <w:t>中标人</w:t>
      </w:r>
      <w:r>
        <w:rPr>
          <w:rFonts w:hint="eastAsia"/>
          <w:color w:val="auto"/>
        </w:rPr>
        <w:t>需根据实际情况和采购人签订相应的合同。）</w:t>
      </w:r>
    </w:p>
    <w:p w14:paraId="028DA418">
      <w:pPr>
        <w:wordWrap w:val="0"/>
        <w:jc w:val="right"/>
        <w:rPr>
          <w:color w:val="auto"/>
        </w:rPr>
      </w:pPr>
      <w:r>
        <w:rPr>
          <w:rFonts w:hint="eastAsia"/>
          <w:color w:val="auto"/>
        </w:rPr>
        <w:t>合同编号：</w:t>
      </w:r>
      <w:r>
        <w:rPr>
          <w:rFonts w:hint="eastAsia"/>
          <w:color w:val="auto"/>
          <w:u w:val="single"/>
        </w:rPr>
        <w:t xml:space="preserve">                 </w:t>
      </w:r>
      <w:r>
        <w:rPr>
          <w:rFonts w:hint="eastAsia"/>
          <w:color w:val="auto"/>
        </w:rPr>
        <w:t xml:space="preserve"> </w:t>
      </w:r>
    </w:p>
    <w:p w14:paraId="6D2EAE28">
      <w:pPr>
        <w:rPr>
          <w:color w:val="auto"/>
        </w:rPr>
      </w:pPr>
      <w:r>
        <w:rPr>
          <w:rFonts w:hint="eastAsia"/>
          <w:color w:val="auto"/>
        </w:rPr>
        <w:t>甲方（采购人）：东莞市救助管理站</w:t>
      </w:r>
    </w:p>
    <w:p w14:paraId="1C3F32E4">
      <w:pPr>
        <w:rPr>
          <w:color w:val="auto"/>
        </w:rPr>
      </w:pPr>
      <w:r>
        <w:rPr>
          <w:rFonts w:hint="eastAsia"/>
          <w:color w:val="auto"/>
        </w:rPr>
        <w:t>乙方（中标人）：</w:t>
      </w:r>
    </w:p>
    <w:p w14:paraId="26113242">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鉴于甲方就</w:t>
      </w:r>
      <w:r>
        <w:rPr>
          <w:rFonts w:hint="eastAsia" w:cs="宋体"/>
          <w:color w:val="auto"/>
          <w:sz w:val="21"/>
          <w:szCs w:val="21"/>
          <w:highlight w:val="none"/>
          <w:lang w:val="en-US" w:eastAsia="zh-CN"/>
        </w:rPr>
        <w:t>东莞市救助管理站</w:t>
      </w:r>
      <w:r>
        <w:rPr>
          <w:rFonts w:hint="eastAsia" w:ascii="宋体" w:hAnsi="宋体" w:eastAsia="宋体" w:cs="宋体"/>
          <w:color w:val="auto"/>
          <w:sz w:val="21"/>
          <w:szCs w:val="21"/>
          <w:highlight w:val="none"/>
          <w:lang w:val="en-US" w:eastAsia="zh-CN"/>
        </w:rPr>
        <w:t>员工食堂副食品采购配送</w:t>
      </w:r>
      <w:r>
        <w:rPr>
          <w:rFonts w:hint="eastAsia" w:ascii="宋体" w:hAnsi="宋体" w:eastAsia="宋体" w:cs="宋体"/>
          <w:color w:val="auto"/>
          <w:sz w:val="21"/>
          <w:szCs w:val="21"/>
          <w:highlight w:val="none"/>
        </w:rPr>
        <w:t>项目进行竞价采购，乙方参与竞价并中标，根据《中华人民共和国民法典》及相关法律法规的规定，甲乙双方经友好协商，达成以下合同条款：</w:t>
      </w:r>
    </w:p>
    <w:p w14:paraId="00D903E6">
      <w:pPr>
        <w:rPr>
          <w:rFonts w:hint="eastAsia"/>
          <w:color w:val="auto"/>
        </w:rPr>
      </w:pPr>
      <w:r>
        <w:rPr>
          <w:rFonts w:hint="eastAsia"/>
          <w:b/>
          <w:bCs/>
          <w:color w:val="auto"/>
        </w:rPr>
        <w:t>一、合同组成</w:t>
      </w:r>
    </w:p>
    <w:p w14:paraId="64046A53">
      <w:pPr>
        <w:ind w:firstLine="420" w:firstLineChars="200"/>
        <w:rPr>
          <w:rFonts w:hint="eastAsia"/>
          <w:b/>
          <w:bCs/>
          <w:color w:val="auto"/>
        </w:rPr>
      </w:pPr>
      <w:r>
        <w:rPr>
          <w:rFonts w:hint="eastAsia"/>
          <w:color w:val="auto"/>
        </w:rPr>
        <w:t>本合同文件组成内容包括：本合同书及附件</w:t>
      </w:r>
    </w:p>
    <w:p w14:paraId="1E024FDB">
      <w:pPr>
        <w:rPr>
          <w:rFonts w:hint="eastAsia"/>
          <w:b/>
          <w:bCs/>
          <w:color w:val="auto"/>
        </w:rPr>
      </w:pPr>
      <w:r>
        <w:rPr>
          <w:rFonts w:hint="eastAsia"/>
          <w:b/>
          <w:bCs/>
          <w:color w:val="auto"/>
        </w:rPr>
        <w:t>二、合同标的</w:t>
      </w:r>
    </w:p>
    <w:tbl>
      <w:tblPr>
        <w:tblStyle w:val="14"/>
        <w:tblW w:w="88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26"/>
        <w:gridCol w:w="4530"/>
        <w:gridCol w:w="1729"/>
        <w:gridCol w:w="1701"/>
      </w:tblGrid>
      <w:tr w14:paraId="506BC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926" w:type="dxa"/>
            <w:vAlign w:val="center"/>
          </w:tcPr>
          <w:p w14:paraId="5D4F30A9">
            <w:pPr>
              <w:keepNext w:val="0"/>
              <w:keepLines w:val="0"/>
              <w:pageBreakBefore w:val="0"/>
              <w:widowControl w:val="0"/>
              <w:kinsoku/>
              <w:wordWrap/>
              <w:overflowPunct/>
              <w:topLinePunct w:val="0"/>
              <w:autoSpaceDE/>
              <w:autoSpaceDN/>
              <w:bidi w:val="0"/>
              <w:adjustRightInd/>
              <w:snapToGrid w:val="0"/>
              <w:spacing w:before="157" w:beforeLines="50" w:line="360" w:lineRule="auto"/>
              <w:jc w:val="center"/>
              <w:textAlignment w:val="auto"/>
              <w:rPr>
                <w:rFonts w:hint="eastAsia" w:eastAsia="宋体"/>
                <w:b/>
                <w:bCs/>
                <w:color w:val="auto"/>
                <w:lang w:eastAsia="zh-CN"/>
              </w:rPr>
            </w:pPr>
            <w:r>
              <w:rPr>
                <w:rFonts w:hint="eastAsia"/>
                <w:b/>
                <w:bCs/>
                <w:color w:val="auto"/>
                <w:lang w:val="en-US" w:eastAsia="zh-CN"/>
              </w:rPr>
              <w:t>序号</w:t>
            </w:r>
          </w:p>
        </w:tc>
        <w:tc>
          <w:tcPr>
            <w:tcW w:w="4530" w:type="dxa"/>
            <w:vAlign w:val="center"/>
          </w:tcPr>
          <w:p w14:paraId="57F7BF8D">
            <w:pPr>
              <w:keepNext w:val="0"/>
              <w:keepLines w:val="0"/>
              <w:pageBreakBefore w:val="0"/>
              <w:widowControl w:val="0"/>
              <w:kinsoku/>
              <w:wordWrap/>
              <w:overflowPunct/>
              <w:topLinePunct w:val="0"/>
              <w:autoSpaceDE/>
              <w:autoSpaceDN/>
              <w:bidi w:val="0"/>
              <w:adjustRightInd/>
              <w:snapToGrid w:val="0"/>
              <w:spacing w:before="157" w:beforeLines="50" w:line="360" w:lineRule="auto"/>
              <w:jc w:val="center"/>
              <w:textAlignment w:val="auto"/>
              <w:rPr>
                <w:b/>
                <w:bCs/>
                <w:color w:val="auto"/>
              </w:rPr>
            </w:pPr>
            <w:r>
              <w:rPr>
                <w:rFonts w:hint="eastAsia"/>
                <w:b/>
                <w:bCs/>
                <w:color w:val="auto"/>
              </w:rPr>
              <w:t>合同标的</w:t>
            </w:r>
          </w:p>
        </w:tc>
        <w:tc>
          <w:tcPr>
            <w:tcW w:w="1729" w:type="dxa"/>
            <w:vAlign w:val="center"/>
          </w:tcPr>
          <w:p w14:paraId="6B7F5CB6">
            <w:pPr>
              <w:keepNext w:val="0"/>
              <w:keepLines w:val="0"/>
              <w:pageBreakBefore w:val="0"/>
              <w:widowControl w:val="0"/>
              <w:kinsoku/>
              <w:wordWrap/>
              <w:overflowPunct/>
              <w:topLinePunct w:val="0"/>
              <w:autoSpaceDE/>
              <w:autoSpaceDN/>
              <w:bidi w:val="0"/>
              <w:adjustRightInd/>
              <w:snapToGrid w:val="0"/>
              <w:spacing w:before="157" w:beforeLines="50" w:line="360" w:lineRule="auto"/>
              <w:jc w:val="center"/>
              <w:textAlignment w:val="auto"/>
              <w:rPr>
                <w:b/>
                <w:bCs/>
                <w:color w:val="auto"/>
              </w:rPr>
            </w:pPr>
            <w:r>
              <w:rPr>
                <w:rFonts w:hint="eastAsia"/>
                <w:b/>
                <w:bCs/>
                <w:color w:val="auto"/>
              </w:rPr>
              <w:t>数量（单位）</w:t>
            </w:r>
          </w:p>
        </w:tc>
        <w:tc>
          <w:tcPr>
            <w:tcW w:w="1701" w:type="dxa"/>
            <w:vAlign w:val="center"/>
          </w:tcPr>
          <w:p w14:paraId="37E5E29E">
            <w:pPr>
              <w:keepNext w:val="0"/>
              <w:keepLines w:val="0"/>
              <w:pageBreakBefore w:val="0"/>
              <w:widowControl w:val="0"/>
              <w:kinsoku/>
              <w:wordWrap/>
              <w:overflowPunct/>
              <w:topLinePunct w:val="0"/>
              <w:autoSpaceDE/>
              <w:autoSpaceDN/>
              <w:bidi w:val="0"/>
              <w:adjustRightInd/>
              <w:snapToGrid w:val="0"/>
              <w:spacing w:before="157" w:beforeLines="50" w:line="360" w:lineRule="auto"/>
              <w:jc w:val="center"/>
              <w:textAlignment w:val="auto"/>
              <w:rPr>
                <w:rFonts w:hint="eastAsia"/>
                <w:b/>
                <w:bCs/>
                <w:color w:val="auto"/>
              </w:rPr>
            </w:pPr>
            <w:r>
              <w:rPr>
                <w:rFonts w:hint="eastAsia"/>
                <w:b/>
                <w:bCs/>
                <w:color w:val="auto"/>
              </w:rPr>
              <w:t>备注</w:t>
            </w:r>
          </w:p>
        </w:tc>
      </w:tr>
      <w:tr w14:paraId="00BB7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jc w:val="center"/>
        </w:trPr>
        <w:tc>
          <w:tcPr>
            <w:tcW w:w="926" w:type="dxa"/>
            <w:vAlign w:val="center"/>
          </w:tcPr>
          <w:p w14:paraId="35EEAEA7">
            <w:pPr>
              <w:spacing w:line="360" w:lineRule="exact"/>
              <w:jc w:val="center"/>
              <w:rPr>
                <w:rFonts w:hint="eastAsia"/>
                <w:color w:val="auto"/>
              </w:rPr>
            </w:pPr>
            <w:r>
              <w:rPr>
                <w:rFonts w:hint="eastAsia"/>
                <w:color w:val="auto"/>
                <w:lang w:val="en-US" w:eastAsia="zh-CN"/>
              </w:rPr>
              <w:t>1</w:t>
            </w:r>
          </w:p>
        </w:tc>
        <w:tc>
          <w:tcPr>
            <w:tcW w:w="4530" w:type="dxa"/>
            <w:vAlign w:val="center"/>
          </w:tcPr>
          <w:p w14:paraId="62D6B461">
            <w:pPr>
              <w:keepNext w:val="0"/>
              <w:keepLines w:val="0"/>
              <w:pageBreakBefore w:val="0"/>
              <w:widowControl w:val="0"/>
              <w:kinsoku/>
              <w:wordWrap/>
              <w:overflowPunct/>
              <w:topLinePunct w:val="0"/>
              <w:autoSpaceDE/>
              <w:autoSpaceDN/>
              <w:bidi w:val="0"/>
              <w:adjustRightInd/>
              <w:snapToGrid w:val="0"/>
              <w:spacing w:before="157" w:beforeLines="50" w:line="360" w:lineRule="auto"/>
              <w:jc w:val="center"/>
              <w:textAlignment w:val="auto"/>
              <w:rPr>
                <w:rFonts w:hint="default" w:ascii="宋体" w:hAnsi="宋体" w:eastAsia="宋体" w:cs="宋体"/>
                <w:b w:val="0"/>
                <w:bCs w:val="0"/>
                <w:color w:val="auto"/>
                <w:lang w:val="en-US" w:eastAsia="zh-CN"/>
              </w:rPr>
            </w:pPr>
            <w:r>
              <w:rPr>
                <w:rFonts w:hint="eastAsia" w:cs="宋体"/>
                <w:b w:val="0"/>
                <w:bCs w:val="0"/>
                <w:color w:val="auto"/>
                <w:lang w:eastAsia="zh-CN"/>
              </w:rPr>
              <w:t>东莞市救助管理站</w:t>
            </w:r>
            <w:r>
              <w:rPr>
                <w:rFonts w:hint="eastAsia" w:ascii="宋体" w:hAnsi="宋体" w:eastAsia="宋体" w:cs="宋体"/>
                <w:color w:val="auto"/>
                <w:sz w:val="21"/>
                <w:szCs w:val="21"/>
                <w:highlight w:val="none"/>
                <w:lang w:val="en-US" w:eastAsia="zh-CN"/>
              </w:rPr>
              <w:t>员工食堂副食品采购配送项目</w:t>
            </w:r>
          </w:p>
        </w:tc>
        <w:tc>
          <w:tcPr>
            <w:tcW w:w="1729" w:type="dxa"/>
            <w:vAlign w:val="center"/>
          </w:tcPr>
          <w:p w14:paraId="2E92D29C">
            <w:pPr>
              <w:keepNext w:val="0"/>
              <w:keepLines w:val="0"/>
              <w:pageBreakBefore w:val="0"/>
              <w:widowControl w:val="0"/>
              <w:kinsoku/>
              <w:wordWrap/>
              <w:overflowPunct/>
              <w:topLinePunct w:val="0"/>
              <w:autoSpaceDE/>
              <w:autoSpaceDN/>
              <w:bidi w:val="0"/>
              <w:adjustRightInd/>
              <w:snapToGrid w:val="0"/>
              <w:spacing w:before="157" w:beforeLines="50" w:line="360" w:lineRule="auto"/>
              <w:jc w:val="center"/>
              <w:textAlignment w:val="auto"/>
              <w:rPr>
                <w:rFonts w:hint="eastAsia" w:ascii="宋体" w:hAnsi="宋体" w:eastAsia="宋体" w:cs="宋体"/>
                <w:b w:val="0"/>
                <w:bCs w:val="0"/>
                <w:color w:val="auto"/>
                <w:lang w:eastAsia="zh-CN"/>
              </w:rPr>
            </w:pPr>
            <w:r>
              <w:rPr>
                <w:rFonts w:hint="eastAsia" w:ascii="宋体" w:hAnsi="宋体" w:eastAsia="宋体" w:cs="宋体"/>
                <w:b w:val="0"/>
                <w:bCs w:val="0"/>
                <w:color w:val="auto"/>
                <w:lang w:val="en-US" w:eastAsia="zh-CN"/>
              </w:rPr>
              <w:t>1</w:t>
            </w:r>
            <w:r>
              <w:rPr>
                <w:rFonts w:hint="eastAsia" w:ascii="宋体" w:hAnsi="宋体" w:eastAsia="宋体" w:cs="宋体"/>
                <w:b w:val="0"/>
                <w:bCs w:val="0"/>
                <w:color w:val="auto"/>
                <w:lang w:eastAsia="zh-CN"/>
              </w:rPr>
              <w:t>（</w:t>
            </w:r>
            <w:r>
              <w:rPr>
                <w:rFonts w:hint="eastAsia" w:ascii="宋体" w:hAnsi="宋体" w:eastAsia="宋体" w:cs="宋体"/>
                <w:b w:val="0"/>
                <w:bCs w:val="0"/>
                <w:color w:val="auto"/>
                <w:lang w:val="en-US" w:eastAsia="zh-CN"/>
              </w:rPr>
              <w:t>项</w:t>
            </w:r>
            <w:r>
              <w:rPr>
                <w:rFonts w:hint="eastAsia" w:ascii="宋体" w:hAnsi="宋体" w:eastAsia="宋体" w:cs="宋体"/>
                <w:b w:val="0"/>
                <w:bCs w:val="0"/>
                <w:color w:val="auto"/>
                <w:lang w:eastAsia="zh-CN"/>
              </w:rPr>
              <w:t>）</w:t>
            </w:r>
          </w:p>
        </w:tc>
        <w:tc>
          <w:tcPr>
            <w:tcW w:w="1701" w:type="dxa"/>
            <w:vAlign w:val="center"/>
          </w:tcPr>
          <w:p w14:paraId="08AC4965">
            <w:pPr>
              <w:keepNext w:val="0"/>
              <w:keepLines w:val="0"/>
              <w:pageBreakBefore w:val="0"/>
              <w:widowControl w:val="0"/>
              <w:kinsoku/>
              <w:wordWrap/>
              <w:overflowPunct/>
              <w:topLinePunct w:val="0"/>
              <w:autoSpaceDE/>
              <w:autoSpaceDN/>
              <w:bidi w:val="0"/>
              <w:adjustRightInd/>
              <w:snapToGrid w:val="0"/>
              <w:spacing w:before="157" w:beforeLines="50" w:line="360" w:lineRule="auto"/>
              <w:jc w:val="center"/>
              <w:textAlignment w:val="auto"/>
              <w:rPr>
                <w:rFonts w:hint="eastAsia" w:eastAsia="宋体"/>
                <w:color w:val="auto"/>
                <w:lang w:val="en-US" w:eastAsia="zh-CN"/>
              </w:rPr>
            </w:pPr>
          </w:p>
        </w:tc>
      </w:tr>
    </w:tbl>
    <w:p w14:paraId="77B56638">
      <w:pPr>
        <w:bidi w:val="0"/>
        <w:rPr>
          <w:rFonts w:hint="eastAsia" w:eastAsia="宋体"/>
          <w:b/>
          <w:bCs/>
          <w:color w:val="auto"/>
          <w:lang w:eastAsia="zh-CN"/>
        </w:rPr>
      </w:pPr>
      <w:r>
        <w:rPr>
          <w:rFonts w:hint="eastAsia"/>
          <w:b/>
          <w:bCs/>
          <w:color w:val="auto"/>
        </w:rPr>
        <w:t>三、合同</w:t>
      </w:r>
      <w:r>
        <w:rPr>
          <w:rFonts w:hint="eastAsia"/>
          <w:b/>
          <w:bCs/>
          <w:color w:val="auto"/>
          <w:lang w:val="en-US" w:eastAsia="zh-CN"/>
        </w:rPr>
        <w:t>金额</w:t>
      </w:r>
    </w:p>
    <w:p w14:paraId="3ACFE1D4">
      <w:pPr>
        <w:ind w:firstLine="420"/>
        <w:rPr>
          <w:color w:val="auto"/>
        </w:rPr>
      </w:pPr>
      <w:r>
        <w:rPr>
          <w:color w:val="auto"/>
        </w:rPr>
        <w:t>1.本</w:t>
      </w:r>
      <w:r>
        <w:rPr>
          <w:rFonts w:hint="eastAsia"/>
          <w:color w:val="auto"/>
        </w:rPr>
        <w:t>合同总金额</w:t>
      </w:r>
      <w:r>
        <w:rPr>
          <w:color w:val="auto"/>
        </w:rPr>
        <w:t>为：¥</w:t>
      </w:r>
      <w:r>
        <w:rPr>
          <w:rFonts w:hint="eastAsia"/>
          <w:color w:val="auto"/>
          <w:lang w:val="en-US" w:eastAsia="zh-CN"/>
        </w:rPr>
        <w:t>82140.00</w:t>
      </w:r>
      <w:r>
        <w:rPr>
          <w:color w:val="auto"/>
        </w:rPr>
        <w:t>元(大写：人民币</w:t>
      </w:r>
      <w:r>
        <w:rPr>
          <w:rFonts w:hint="eastAsia" w:cs="宋体"/>
          <w:color w:val="auto"/>
          <w:lang w:val="en-US" w:eastAsia="zh-CN"/>
        </w:rPr>
        <w:t>捌</w:t>
      </w:r>
      <w:r>
        <w:rPr>
          <w:rFonts w:hint="default" w:ascii="宋体" w:hAnsi="宋体" w:eastAsia="宋体" w:cs="宋体"/>
          <w:color w:val="auto"/>
        </w:rPr>
        <w:t>万</w:t>
      </w:r>
      <w:r>
        <w:rPr>
          <w:rFonts w:hint="eastAsia" w:ascii="宋体" w:hAnsi="宋体" w:eastAsia="宋体" w:cs="宋体"/>
          <w:color w:val="auto"/>
          <w:lang w:val="en-US" w:eastAsia="zh-CN"/>
        </w:rPr>
        <w:t>贰仟壹佰肆拾元整</w:t>
      </w:r>
      <w:r>
        <w:rPr>
          <w:color w:val="auto"/>
        </w:rPr>
        <w:t>)。</w:t>
      </w:r>
    </w:p>
    <w:p w14:paraId="6317AA76">
      <w:pPr>
        <w:ind w:firstLine="420"/>
        <w:rPr>
          <w:color w:val="auto"/>
        </w:rPr>
      </w:pPr>
      <w:r>
        <w:rPr>
          <w:rFonts w:hint="eastAsia"/>
          <w:color w:val="auto"/>
        </w:rPr>
        <w:t>以上合同总金额为本合同最高结算总金额，本合同实际结算总金额不得超过该金额</w:t>
      </w:r>
      <w:r>
        <w:rPr>
          <w:color w:val="auto"/>
        </w:rPr>
        <w:t>。</w:t>
      </w:r>
      <w:r>
        <w:rPr>
          <w:rFonts w:hint="eastAsia"/>
          <w:color w:val="auto"/>
          <w:highlight w:val="none"/>
        </w:rPr>
        <w:t>合同履行期限内，</w:t>
      </w:r>
      <w:r>
        <w:rPr>
          <w:rFonts w:hint="eastAsia"/>
          <w:color w:val="auto"/>
          <w:lang w:eastAsia="zh-CN"/>
        </w:rPr>
        <w:t>甲方</w:t>
      </w:r>
      <w:r>
        <w:rPr>
          <w:rFonts w:hint="eastAsia"/>
          <w:color w:val="auto"/>
        </w:rPr>
        <w:t>不保证具体的采购数量及合同供货金额，采购数量按合同履行过程中实际供货量为准，</w:t>
      </w:r>
      <w:r>
        <w:rPr>
          <w:rFonts w:hint="eastAsia"/>
          <w:color w:val="auto"/>
          <w:lang w:eastAsia="zh-CN"/>
        </w:rPr>
        <w:t>乙方</w:t>
      </w:r>
      <w:r>
        <w:rPr>
          <w:rFonts w:hint="eastAsia"/>
          <w:color w:val="auto"/>
        </w:rPr>
        <w:t>不得因最终服务数量而向</w:t>
      </w:r>
      <w:r>
        <w:rPr>
          <w:rFonts w:hint="eastAsia"/>
          <w:color w:val="auto"/>
          <w:lang w:eastAsia="zh-CN"/>
        </w:rPr>
        <w:t>甲方</w:t>
      </w:r>
      <w:r>
        <w:rPr>
          <w:rFonts w:hint="eastAsia"/>
          <w:color w:val="auto"/>
        </w:rPr>
        <w:t>追讨任何形式的补偿或赔偿。</w:t>
      </w:r>
    </w:p>
    <w:p w14:paraId="21D56A5C">
      <w:pPr>
        <w:ind w:firstLine="420" w:firstLineChars="200"/>
        <w:rPr>
          <w:rFonts w:hint="eastAsia"/>
          <w:color w:val="auto"/>
          <w:highlight w:val="none"/>
        </w:rPr>
      </w:pPr>
      <w:r>
        <w:rPr>
          <w:rFonts w:hint="eastAsia"/>
          <w:color w:val="auto"/>
          <w:highlight w:val="none"/>
          <w:lang w:val="en-US" w:eastAsia="zh-CN"/>
        </w:rPr>
        <w:t>2</w:t>
      </w:r>
      <w:r>
        <w:rPr>
          <w:rFonts w:hint="eastAsia"/>
          <w:color w:val="auto"/>
          <w:highlight w:val="none"/>
        </w:rPr>
        <w:t>.</w:t>
      </w:r>
      <w:r>
        <w:rPr>
          <w:rFonts w:hint="eastAsia"/>
          <w:color w:val="auto"/>
          <w:highlight w:val="none"/>
          <w:lang w:val="en-US" w:eastAsia="zh-CN"/>
        </w:rPr>
        <w:t>中标</w:t>
      </w:r>
      <w:r>
        <w:rPr>
          <w:rFonts w:hint="eastAsia"/>
          <w:color w:val="auto"/>
          <w:highlight w:val="none"/>
        </w:rPr>
        <w:t>下浮率：</w:t>
      </w:r>
      <w:r>
        <w:rPr>
          <w:rFonts w:hint="eastAsia"/>
          <w:color w:val="auto"/>
          <w:highlight w:val="none"/>
          <w:u w:val="single"/>
        </w:rPr>
        <w:t xml:space="preserve">    </w:t>
      </w:r>
      <w:r>
        <w:rPr>
          <w:rFonts w:hint="eastAsia"/>
          <w:color w:val="auto"/>
          <w:highlight w:val="none"/>
          <w:u w:val="none"/>
          <w:lang w:val="en-US" w:eastAsia="zh-CN"/>
        </w:rPr>
        <w:t>%</w:t>
      </w:r>
      <w:r>
        <w:rPr>
          <w:rFonts w:hint="eastAsia"/>
          <w:color w:val="auto"/>
          <w:highlight w:val="none"/>
        </w:rPr>
        <w:t>，合同履行期限内，结算单价为供货产品基准价（详见供货定价要求）或双方核定价格乘以（1-中标下浮率），如中标下浮率为20%，基准价为100元，即结算单价＝100×（1-20%）=80元，以此类推。</w:t>
      </w:r>
    </w:p>
    <w:p w14:paraId="67D16A25">
      <w:pPr>
        <w:ind w:firstLine="420" w:firstLineChars="200"/>
        <w:rPr>
          <w:rFonts w:hint="eastAsia"/>
          <w:color w:val="auto"/>
          <w:highlight w:val="none"/>
          <w:lang w:val="en-US" w:eastAsia="zh-CN"/>
        </w:rPr>
      </w:pPr>
      <w:r>
        <w:rPr>
          <w:rFonts w:hint="eastAsia"/>
          <w:color w:val="auto"/>
          <w:highlight w:val="none"/>
          <w:lang w:val="en-US" w:eastAsia="zh-CN"/>
        </w:rPr>
        <w:t>3.供货定价要求：</w:t>
      </w:r>
    </w:p>
    <w:p w14:paraId="2114F242">
      <w:pPr>
        <w:ind w:firstLine="420" w:firstLineChars="200"/>
        <w:rPr>
          <w:rFonts w:hint="eastAsia"/>
          <w:color w:val="auto"/>
          <w:highlight w:val="none"/>
          <w:lang w:val="en-US" w:eastAsia="zh-CN"/>
        </w:rPr>
      </w:pPr>
      <w:r>
        <w:rPr>
          <w:rFonts w:hint="eastAsia"/>
          <w:color w:val="auto"/>
          <w:highlight w:val="none"/>
          <w:lang w:val="en-US" w:eastAsia="zh-CN"/>
        </w:rPr>
        <w:t>（1）</w:t>
      </w:r>
      <w:r>
        <w:rPr>
          <w:rFonts w:hint="default"/>
          <w:color w:val="auto"/>
          <w:shd w:val="clear" w:color="auto" w:fill="auto"/>
          <w:lang w:val="en-US" w:eastAsia="zh-CN"/>
        </w:rPr>
        <w:t>牛奶饮品、饼干糕点、其他食品</w:t>
      </w:r>
      <w:r>
        <w:rPr>
          <w:rFonts w:hint="eastAsia" w:ascii="宋体" w:hAnsi="宋体" w:eastAsia="宋体" w:cs="Times New Roman"/>
          <w:color w:val="auto"/>
          <w:kern w:val="2"/>
          <w:sz w:val="21"/>
          <w:szCs w:val="21"/>
          <w:highlight w:val="none"/>
        </w:rPr>
        <w:t>按下单当天</w:t>
      </w:r>
      <w:r>
        <w:rPr>
          <w:rFonts w:hint="eastAsia" w:ascii="宋体" w:hAnsi="宋体" w:eastAsia="宋体" w:cs="Times New Roman"/>
          <w:color w:val="auto"/>
          <w:kern w:val="2"/>
          <w:sz w:val="21"/>
          <w:szCs w:val="21"/>
          <w:highlight w:val="none"/>
          <w:lang w:val="en-US" w:eastAsia="zh-CN"/>
        </w:rPr>
        <w:t>采购人</w:t>
      </w:r>
      <w:r>
        <w:rPr>
          <w:rFonts w:hint="eastAsia" w:ascii="宋体" w:hAnsi="宋体" w:eastAsia="宋体" w:cs="Times New Roman"/>
          <w:color w:val="auto"/>
          <w:kern w:val="2"/>
          <w:sz w:val="21"/>
          <w:szCs w:val="21"/>
          <w:highlight w:val="none"/>
        </w:rPr>
        <w:t>随机选取</w:t>
      </w:r>
      <w:r>
        <w:rPr>
          <w:rFonts w:hint="eastAsia" w:ascii="宋体" w:hAnsi="宋体" w:eastAsia="宋体" w:cs="Times New Roman"/>
          <w:color w:val="auto"/>
          <w:kern w:val="2"/>
          <w:sz w:val="21"/>
          <w:szCs w:val="21"/>
          <w:highlight w:val="none"/>
          <w:lang w:val="en-US" w:eastAsia="zh-CN"/>
        </w:rPr>
        <w:t>的</w:t>
      </w:r>
      <w:r>
        <w:rPr>
          <w:rFonts w:hint="eastAsia" w:ascii="宋体" w:hAnsi="宋体" w:eastAsia="宋体" w:cs="Times New Roman"/>
          <w:color w:val="auto"/>
          <w:kern w:val="2"/>
          <w:sz w:val="21"/>
          <w:szCs w:val="21"/>
          <w:highlight w:val="none"/>
        </w:rPr>
        <w:t>京东自营店、天猫超市、苏宁易购的其中一家公布同一品种同一规格商品的非促销价(不含用券、积分、买赠等优惠）为基准价(须附证明材料)</w:t>
      </w:r>
      <w:r>
        <w:rPr>
          <w:rFonts w:hint="default"/>
          <w:color w:val="auto"/>
          <w:shd w:val="clear" w:color="auto" w:fill="auto"/>
          <w:lang w:val="en-US" w:eastAsia="zh-CN"/>
        </w:rPr>
        <w:t>，若</w:t>
      </w:r>
      <w:r>
        <w:rPr>
          <w:rFonts w:hint="eastAsia"/>
          <w:color w:val="auto"/>
          <w:shd w:val="clear" w:color="auto" w:fill="auto"/>
          <w:lang w:val="en-US" w:eastAsia="zh-CN"/>
        </w:rPr>
        <w:t>上述</w:t>
      </w:r>
      <w:r>
        <w:rPr>
          <w:rFonts w:hint="default"/>
          <w:color w:val="auto"/>
          <w:shd w:val="clear" w:color="auto" w:fill="auto"/>
          <w:lang w:val="en-US" w:eastAsia="zh-CN"/>
        </w:rPr>
        <w:t>电子商务平台无采购人所需的供应品种，</w:t>
      </w:r>
      <w:r>
        <w:rPr>
          <w:rFonts w:hint="eastAsia"/>
          <w:color w:val="auto"/>
          <w:highlight w:val="none"/>
          <w:lang w:val="en-US" w:eastAsia="zh-CN"/>
        </w:rPr>
        <w:t>由乙方对甲方邻近三个连锁超市商品零售价进行调查（须附价格调查证明材料）并以相同食品的最低价作为基准价进行下浮结算。每15天更新一次报价，乙方每次至少提前2天提交下期报价清单给甲方审核，双方签字生效后作为基准价。</w:t>
      </w:r>
    </w:p>
    <w:p w14:paraId="371559FB">
      <w:pPr>
        <w:ind w:firstLine="420" w:firstLineChars="200"/>
        <w:rPr>
          <w:rFonts w:hint="eastAsia"/>
          <w:color w:val="auto"/>
          <w:highlight w:val="none"/>
          <w:lang w:val="en-US" w:eastAsia="zh-CN"/>
        </w:rPr>
      </w:pPr>
      <w:r>
        <w:rPr>
          <w:rFonts w:hint="eastAsia"/>
          <w:color w:val="auto"/>
          <w:highlight w:val="none"/>
          <w:lang w:val="en-US" w:eastAsia="zh-CN"/>
        </w:rPr>
        <w:t>（2）水果原则上以东莞市发展和改革局官方网站价格管理专栏中《东莞市菜篮子价格监测表》最新公布本期价格作为基准价(http://dgdp.dg.gov.cn/jggl/index.html)进行下浮结算。</w:t>
      </w:r>
    </w:p>
    <w:p w14:paraId="5FF992AA">
      <w:pPr>
        <w:ind w:firstLine="420" w:firstLineChars="200"/>
        <w:rPr>
          <w:rFonts w:hint="default" w:eastAsia="宋体"/>
          <w:color w:val="auto"/>
          <w:highlight w:val="none"/>
          <w:lang w:val="en-US" w:eastAsia="zh-CN"/>
        </w:rPr>
      </w:pPr>
      <w:r>
        <w:rPr>
          <w:rFonts w:hint="eastAsia"/>
          <w:color w:val="auto"/>
          <w:highlight w:val="none"/>
          <w:lang w:val="en-US" w:eastAsia="zh-CN"/>
        </w:rPr>
        <w:t>（3）若《东莞市菜篮子价格监测表》无甲方所需的供应水果品种，则由乙方对邻近市场不少于三个商户的市场零售价进行调查（须附价格调查证明材料）并以相同水果的最低价作为基准价（特价商品不列入在内）。定价周期：原则上以《东莞市菜篮子价格监测表》的更新时间为准。《东莞市菜篮子价格监测表》无甲方所需的供应水果品种的部分，由甲方或乙方任意一方提出，经双方按照本款基准价的确定方式核实、签字生效后更新产品的基准价进行下浮结算。</w:t>
      </w:r>
    </w:p>
    <w:p w14:paraId="0693F69D">
      <w:pPr>
        <w:ind w:firstLine="420" w:firstLineChars="200"/>
        <w:rPr>
          <w:rFonts w:hint="eastAsia" w:ascii="宋体" w:hAnsi="宋体" w:eastAsia="宋体" w:cs="宋体"/>
          <w:color w:val="auto"/>
          <w:sz w:val="21"/>
          <w:szCs w:val="21"/>
        </w:rPr>
      </w:pPr>
      <w:r>
        <w:rPr>
          <w:rFonts w:hint="eastAsia"/>
          <w:color w:val="auto"/>
          <w:lang w:val="en-US" w:eastAsia="zh-CN"/>
        </w:rPr>
        <w:t>4</w:t>
      </w:r>
      <w:r>
        <w:rPr>
          <w:color w:val="auto"/>
        </w:rPr>
        <w:t>.</w:t>
      </w:r>
      <w:r>
        <w:rPr>
          <w:rFonts w:hint="eastAsia"/>
          <w:color w:val="auto"/>
        </w:rPr>
        <w:t>本合同以人民币为结算货币</w:t>
      </w:r>
      <w:r>
        <w:rPr>
          <w:rFonts w:hint="eastAsia" w:ascii="宋体" w:hAnsi="宋体" w:eastAsia="宋体" w:cs="宋体"/>
          <w:color w:val="auto"/>
          <w:sz w:val="21"/>
          <w:szCs w:val="21"/>
        </w:rPr>
        <w:t>。</w:t>
      </w:r>
    </w:p>
    <w:bookmarkEnd w:id="0"/>
    <w:bookmarkEnd w:id="1"/>
    <w:bookmarkEnd w:id="2"/>
    <w:p w14:paraId="072A7B6B">
      <w:pPr>
        <w:bidi w:val="0"/>
        <w:rPr>
          <w:b/>
          <w:bCs/>
          <w:color w:val="auto"/>
        </w:rPr>
      </w:pPr>
      <w:bookmarkStart w:id="3" w:name="_Toc667"/>
      <w:bookmarkStart w:id="4" w:name="_Toc21476"/>
      <w:bookmarkStart w:id="5" w:name="_Toc6773"/>
      <w:r>
        <w:rPr>
          <w:rFonts w:hint="eastAsia"/>
          <w:b/>
          <w:bCs/>
          <w:color w:val="auto"/>
        </w:rPr>
        <w:t>四、合同履行期限</w:t>
      </w:r>
      <w:bookmarkEnd w:id="3"/>
      <w:bookmarkEnd w:id="4"/>
      <w:bookmarkEnd w:id="5"/>
    </w:p>
    <w:p w14:paraId="530420D1">
      <w:pPr>
        <w:bidi w:val="0"/>
        <w:ind w:firstLine="420" w:firstLineChars="200"/>
        <w:rPr>
          <w:rFonts w:hint="eastAsia"/>
          <w:color w:val="auto"/>
          <w:u w:val="single"/>
        </w:rPr>
      </w:pPr>
      <w:bookmarkStart w:id="6" w:name="_Toc31671"/>
      <w:bookmarkStart w:id="7" w:name="_Toc318"/>
      <w:bookmarkStart w:id="8" w:name="_Toc12065"/>
      <w:r>
        <w:rPr>
          <w:rFonts w:hint="eastAsia" w:ascii="宋体" w:hAnsi="宋体"/>
          <w:color w:val="auto"/>
          <w:szCs w:val="21"/>
          <w:lang w:eastAsia="zh-CN"/>
        </w:rPr>
        <w:t>自</w:t>
      </w:r>
      <w:r>
        <w:rPr>
          <w:rFonts w:hint="eastAsia" w:ascii="宋体" w:hAnsi="宋体"/>
          <w:color w:val="auto"/>
          <w:szCs w:val="21"/>
        </w:rPr>
        <w:t>合同生效之日</w:t>
      </w:r>
      <w:r>
        <w:rPr>
          <w:rFonts w:hint="eastAsia" w:ascii="宋体" w:hAnsi="宋体"/>
          <w:color w:val="auto"/>
          <w:szCs w:val="21"/>
          <w:lang w:eastAsia="zh-CN"/>
        </w:rPr>
        <w:t>起</w:t>
      </w:r>
      <w:r>
        <w:rPr>
          <w:rFonts w:hint="eastAsia"/>
          <w:color w:val="auto"/>
          <w:szCs w:val="21"/>
          <w:lang w:val="en-US" w:eastAsia="zh-CN"/>
        </w:rPr>
        <w:t>至2026年12月31日</w:t>
      </w:r>
      <w:r>
        <w:rPr>
          <w:rFonts w:hint="eastAsia" w:ascii="宋体" w:hAnsi="宋体"/>
          <w:color w:val="auto"/>
          <w:szCs w:val="21"/>
        </w:rPr>
        <w:t>。</w:t>
      </w:r>
      <w:r>
        <w:rPr>
          <w:rFonts w:hint="eastAsia"/>
          <w:color w:val="auto"/>
          <w:u w:val="none"/>
          <w:lang w:eastAsia="zh-CN"/>
        </w:rPr>
        <w:t>（若因国家或地方相关法律法规修订、行政政策调整，或地震、洪水等不能预见、不能避免且不能克服的自然灾害、政府行政行为、社会异常事件、</w:t>
      </w:r>
      <w:r>
        <w:rPr>
          <w:rFonts w:hint="eastAsia"/>
          <w:color w:val="auto"/>
          <w:u w:val="none"/>
          <w:lang w:val="en-US" w:eastAsia="zh-CN"/>
        </w:rPr>
        <w:t>甲方</w:t>
      </w:r>
      <w:r>
        <w:rPr>
          <w:rFonts w:hint="eastAsia"/>
          <w:color w:val="auto"/>
          <w:u w:val="none"/>
          <w:lang w:eastAsia="zh-CN"/>
        </w:rPr>
        <w:t>的实际需求等不可抗力情形，导致本</w:t>
      </w:r>
      <w:r>
        <w:rPr>
          <w:rFonts w:hint="eastAsia"/>
          <w:color w:val="auto"/>
          <w:u w:val="none"/>
          <w:lang w:val="en-US" w:eastAsia="zh-CN"/>
        </w:rPr>
        <w:t>合同</w:t>
      </w:r>
      <w:r>
        <w:rPr>
          <w:rFonts w:hint="eastAsia"/>
          <w:color w:val="auto"/>
          <w:u w:val="none"/>
          <w:lang w:eastAsia="zh-CN"/>
        </w:rPr>
        <w:t>无法履行或采购目的无法实现的，</w:t>
      </w:r>
      <w:r>
        <w:rPr>
          <w:rFonts w:hint="eastAsia"/>
          <w:color w:val="auto"/>
          <w:u w:val="none"/>
          <w:lang w:val="en-US" w:eastAsia="zh-CN"/>
        </w:rPr>
        <w:t>甲方</w:t>
      </w:r>
      <w:r>
        <w:rPr>
          <w:rFonts w:hint="eastAsia"/>
          <w:color w:val="auto"/>
          <w:u w:val="none"/>
          <w:lang w:eastAsia="zh-CN"/>
        </w:rPr>
        <w:t>可依据《中华人民共和国民法典》等相关规定，单方终止合同，无需向</w:t>
      </w:r>
      <w:r>
        <w:rPr>
          <w:rFonts w:hint="eastAsia"/>
          <w:color w:val="auto"/>
          <w:u w:val="none"/>
          <w:lang w:val="en-US" w:eastAsia="zh-CN"/>
        </w:rPr>
        <w:t>乙方</w:t>
      </w:r>
      <w:r>
        <w:rPr>
          <w:rFonts w:hint="eastAsia"/>
          <w:color w:val="auto"/>
          <w:u w:val="none"/>
          <w:lang w:eastAsia="zh-CN"/>
        </w:rPr>
        <w:t>承担赔偿或补偿责任。</w:t>
      </w:r>
      <w:r>
        <w:rPr>
          <w:rFonts w:hint="eastAsia"/>
          <w:color w:val="auto"/>
          <w:u w:val="none"/>
          <w:lang w:val="en-US" w:eastAsia="zh-CN"/>
        </w:rPr>
        <w:t>甲方</w:t>
      </w:r>
      <w:r>
        <w:rPr>
          <w:rFonts w:hint="eastAsia"/>
          <w:color w:val="auto"/>
          <w:u w:val="none"/>
          <w:lang w:eastAsia="zh-CN"/>
        </w:rPr>
        <w:t>提前1个月以书面形式（含正式函件、盖章扫描件、指定官方沟通渠道通知等，留存送达记录）通知</w:t>
      </w:r>
      <w:r>
        <w:rPr>
          <w:rFonts w:hint="eastAsia"/>
          <w:color w:val="auto"/>
          <w:u w:val="none"/>
          <w:lang w:val="en-US" w:eastAsia="zh-CN"/>
        </w:rPr>
        <w:t>乙方</w:t>
      </w:r>
      <w:r>
        <w:rPr>
          <w:rFonts w:hint="eastAsia"/>
          <w:color w:val="auto"/>
          <w:u w:val="none"/>
          <w:lang w:eastAsia="zh-CN"/>
        </w:rPr>
        <w:t>，明确终止时间及相关事宜。）</w:t>
      </w:r>
    </w:p>
    <w:p w14:paraId="78824CE2">
      <w:pPr>
        <w:bidi w:val="0"/>
        <w:rPr>
          <w:b/>
          <w:bCs/>
          <w:color w:val="auto"/>
        </w:rPr>
      </w:pPr>
      <w:r>
        <w:rPr>
          <w:rFonts w:hint="eastAsia"/>
          <w:b/>
          <w:bCs/>
          <w:color w:val="auto"/>
        </w:rPr>
        <w:t>五、合同标的提供的地点</w:t>
      </w:r>
      <w:bookmarkEnd w:id="6"/>
      <w:bookmarkEnd w:id="7"/>
      <w:bookmarkEnd w:id="8"/>
    </w:p>
    <w:p w14:paraId="110C5740">
      <w:pPr>
        <w:bidi w:val="0"/>
        <w:ind w:firstLine="420" w:firstLineChars="200"/>
        <w:rPr>
          <w:rFonts w:hint="eastAsia" w:eastAsia="宋体"/>
          <w:color w:val="auto"/>
          <w:u w:val="none"/>
          <w:lang w:eastAsia="zh-CN"/>
        </w:rPr>
      </w:pPr>
      <w:bookmarkStart w:id="9" w:name="_Toc25997"/>
      <w:bookmarkStart w:id="10" w:name="_Toc5613"/>
      <w:bookmarkStart w:id="11" w:name="_Toc15458"/>
      <w:r>
        <w:rPr>
          <w:rFonts w:hint="eastAsia"/>
          <w:color w:val="auto"/>
          <w:u w:val="none"/>
        </w:rPr>
        <w:t>东莞市救助管理站</w:t>
      </w:r>
      <w:r>
        <w:rPr>
          <w:rFonts w:hint="eastAsia"/>
          <w:color w:val="auto"/>
          <w:u w:val="none"/>
          <w:lang w:eastAsia="zh-CN"/>
        </w:rPr>
        <w:t>。</w:t>
      </w:r>
    </w:p>
    <w:p w14:paraId="3EC56313">
      <w:pPr>
        <w:bidi w:val="0"/>
        <w:rPr>
          <w:b/>
          <w:bCs/>
          <w:color w:val="auto"/>
        </w:rPr>
      </w:pPr>
      <w:r>
        <w:rPr>
          <w:rFonts w:hint="eastAsia"/>
          <w:b/>
          <w:bCs/>
          <w:color w:val="auto"/>
        </w:rPr>
        <w:t>六、付款方式</w:t>
      </w:r>
      <w:bookmarkEnd w:id="9"/>
      <w:bookmarkEnd w:id="10"/>
      <w:bookmarkEnd w:id="11"/>
    </w:p>
    <w:p w14:paraId="7B9C8AED">
      <w:pPr>
        <w:ind w:firstLine="420" w:firstLineChars="200"/>
        <w:rPr>
          <w:rFonts w:hint="eastAsia"/>
          <w:color w:val="auto"/>
          <w:u w:val="none"/>
        </w:rPr>
      </w:pPr>
      <w:r>
        <w:rPr>
          <w:rFonts w:hint="eastAsia"/>
          <w:color w:val="auto"/>
          <w:u w:val="none"/>
        </w:rPr>
        <w:t>1.本项目采取据实支付的结算方式，合同货物到达</w:t>
      </w:r>
      <w:r>
        <w:rPr>
          <w:rFonts w:hint="eastAsia"/>
          <w:color w:val="auto"/>
          <w:u w:val="none"/>
          <w:lang w:eastAsia="zh-CN"/>
        </w:rPr>
        <w:t>甲方</w:t>
      </w:r>
      <w:r>
        <w:rPr>
          <w:rFonts w:hint="eastAsia"/>
          <w:color w:val="auto"/>
          <w:u w:val="none"/>
        </w:rPr>
        <w:t>指定地点进行交付验收合格后，凭</w:t>
      </w:r>
      <w:r>
        <w:rPr>
          <w:rFonts w:hint="eastAsia"/>
          <w:color w:val="auto"/>
          <w:u w:val="none"/>
          <w:lang w:eastAsia="zh-CN"/>
        </w:rPr>
        <w:t>乙方</w:t>
      </w:r>
      <w:r>
        <w:rPr>
          <w:rFonts w:hint="eastAsia"/>
          <w:color w:val="auto"/>
          <w:u w:val="none"/>
        </w:rPr>
        <w:t>开具的正式合法有效的发票及货物验收清单(需加盖</w:t>
      </w:r>
      <w:r>
        <w:rPr>
          <w:rFonts w:hint="eastAsia"/>
          <w:color w:val="auto"/>
          <w:u w:val="none"/>
          <w:lang w:eastAsia="zh-CN"/>
        </w:rPr>
        <w:t>乙方</w:t>
      </w:r>
      <w:r>
        <w:rPr>
          <w:rFonts w:hint="eastAsia"/>
          <w:color w:val="auto"/>
          <w:u w:val="none"/>
        </w:rPr>
        <w:t>公章)于30天内结算当次货款。</w:t>
      </w:r>
    </w:p>
    <w:p w14:paraId="23A8E89E">
      <w:pPr>
        <w:ind w:firstLine="420" w:firstLineChars="200"/>
        <w:rPr>
          <w:rFonts w:hint="eastAsia"/>
          <w:color w:val="auto"/>
          <w:u w:val="none"/>
        </w:rPr>
      </w:pPr>
      <w:r>
        <w:rPr>
          <w:rFonts w:hint="eastAsia"/>
          <w:color w:val="auto"/>
          <w:u w:val="none"/>
        </w:rPr>
        <w:t>2.因</w:t>
      </w:r>
      <w:r>
        <w:rPr>
          <w:rFonts w:hint="eastAsia"/>
          <w:color w:val="auto"/>
          <w:u w:val="none"/>
          <w:lang w:eastAsia="zh-CN"/>
        </w:rPr>
        <w:t>乙方</w:t>
      </w:r>
      <w:r>
        <w:rPr>
          <w:rFonts w:hint="eastAsia"/>
          <w:color w:val="auto"/>
          <w:u w:val="none"/>
        </w:rPr>
        <w:t>怠于或者拒绝提供上述资料等自身原因导致付款迟延的，</w:t>
      </w:r>
      <w:r>
        <w:rPr>
          <w:rFonts w:hint="eastAsia"/>
          <w:color w:val="auto"/>
          <w:u w:val="none"/>
          <w:lang w:eastAsia="zh-CN"/>
        </w:rPr>
        <w:t>甲方</w:t>
      </w:r>
      <w:r>
        <w:rPr>
          <w:rFonts w:hint="eastAsia"/>
          <w:color w:val="auto"/>
          <w:u w:val="none"/>
        </w:rPr>
        <w:t>不承担违约责任，且</w:t>
      </w:r>
      <w:r>
        <w:rPr>
          <w:rFonts w:hint="eastAsia"/>
          <w:color w:val="auto"/>
          <w:u w:val="none"/>
          <w:lang w:eastAsia="zh-CN"/>
        </w:rPr>
        <w:t>乙方</w:t>
      </w:r>
      <w:r>
        <w:rPr>
          <w:rFonts w:hint="eastAsia"/>
          <w:color w:val="auto"/>
          <w:u w:val="none"/>
        </w:rPr>
        <w:t>不得以此为由影响合同履行。</w:t>
      </w:r>
    </w:p>
    <w:p w14:paraId="1A93503D">
      <w:pPr>
        <w:ind w:firstLine="420" w:firstLineChars="200"/>
        <w:rPr>
          <w:color w:val="auto"/>
          <w:u w:val="none"/>
        </w:rPr>
      </w:pPr>
      <w:r>
        <w:rPr>
          <w:rFonts w:hint="eastAsia"/>
          <w:color w:val="auto"/>
          <w:u w:val="none"/>
        </w:rPr>
        <w:t>3.因</w:t>
      </w:r>
      <w:r>
        <w:rPr>
          <w:rFonts w:hint="eastAsia"/>
          <w:color w:val="auto"/>
          <w:u w:val="none"/>
          <w:lang w:eastAsia="zh-CN"/>
        </w:rPr>
        <w:t>甲方</w:t>
      </w:r>
      <w:r>
        <w:rPr>
          <w:rFonts w:hint="eastAsia"/>
          <w:color w:val="auto"/>
          <w:u w:val="none"/>
        </w:rPr>
        <w:t>使用的是财政资金，</w:t>
      </w:r>
      <w:r>
        <w:rPr>
          <w:rFonts w:hint="eastAsia"/>
          <w:color w:val="auto"/>
          <w:u w:val="none"/>
          <w:lang w:eastAsia="zh-CN"/>
        </w:rPr>
        <w:t>甲方</w:t>
      </w:r>
      <w:r>
        <w:rPr>
          <w:rFonts w:hint="eastAsia"/>
          <w:color w:val="auto"/>
          <w:u w:val="none"/>
        </w:rPr>
        <w:t>在本合同规定的付款时间内向政府采购支付部门提出办理财政支付申请手续后即视为</w:t>
      </w:r>
      <w:r>
        <w:rPr>
          <w:rFonts w:hint="eastAsia"/>
          <w:color w:val="auto"/>
          <w:u w:val="none"/>
          <w:lang w:eastAsia="zh-CN"/>
        </w:rPr>
        <w:t>甲方</w:t>
      </w:r>
      <w:r>
        <w:rPr>
          <w:rFonts w:hint="eastAsia"/>
          <w:color w:val="auto"/>
          <w:u w:val="none"/>
        </w:rPr>
        <w:t>已经按期支付。若出现财政资金不到位、集中支付延误、交付延期等情况，由双方协商处理，这些情况均不视为</w:t>
      </w:r>
      <w:r>
        <w:rPr>
          <w:rFonts w:hint="eastAsia"/>
          <w:color w:val="auto"/>
          <w:u w:val="none"/>
          <w:lang w:eastAsia="zh-CN"/>
        </w:rPr>
        <w:t>甲方</w:t>
      </w:r>
      <w:r>
        <w:rPr>
          <w:rFonts w:hint="eastAsia"/>
          <w:color w:val="auto"/>
          <w:u w:val="none"/>
        </w:rPr>
        <w:t>逾期付款。</w:t>
      </w:r>
    </w:p>
    <w:p w14:paraId="3AC4EE45">
      <w:pPr>
        <w:ind w:firstLine="420" w:firstLineChars="200"/>
        <w:rPr>
          <w:b/>
          <w:bCs/>
          <w:color w:val="auto"/>
        </w:rPr>
      </w:pPr>
      <w:r>
        <w:rPr>
          <w:rFonts w:hint="eastAsia"/>
          <w:color w:val="auto"/>
          <w:lang w:val="en-US" w:eastAsia="zh-CN"/>
        </w:rPr>
        <w:t>4</w:t>
      </w:r>
      <w:r>
        <w:rPr>
          <w:rFonts w:hint="eastAsia"/>
          <w:color w:val="auto"/>
        </w:rPr>
        <w:t>.甲方支付的款项以到达本合同签署盖章页乙方列明的收款账户之日视为收讫。如本合同签署盖章页乙方列明的收款账户发生任何变更，乙方应自变更之日起立即书面通知甲方；否则，由此引起的相关后果均由乙方自行承担。</w:t>
      </w:r>
    </w:p>
    <w:p w14:paraId="03781E9D">
      <w:pPr>
        <w:bidi w:val="0"/>
        <w:rPr>
          <w:rFonts w:hint="eastAsia"/>
          <w:b/>
          <w:bCs/>
          <w:color w:val="auto"/>
        </w:rPr>
      </w:pPr>
      <w:bookmarkStart w:id="12" w:name="_Toc30984"/>
      <w:bookmarkStart w:id="13" w:name="_Toc28739"/>
      <w:bookmarkStart w:id="14" w:name="_Toc17107"/>
      <w:r>
        <w:rPr>
          <w:rFonts w:hint="eastAsia"/>
          <w:b/>
          <w:bCs/>
          <w:color w:val="auto"/>
        </w:rPr>
        <w:t>七、验收要求</w:t>
      </w:r>
      <w:bookmarkEnd w:id="12"/>
      <w:bookmarkEnd w:id="13"/>
      <w:bookmarkEnd w:id="14"/>
    </w:p>
    <w:p w14:paraId="614D5B63">
      <w:pPr>
        <w:ind w:firstLine="420" w:firstLineChars="200"/>
        <w:rPr>
          <w:rFonts w:hint="eastAsia"/>
          <w:color w:val="auto"/>
          <w:u w:val="single"/>
        </w:rPr>
      </w:pPr>
      <w:bookmarkStart w:id="15" w:name="_Toc18789"/>
      <w:bookmarkStart w:id="16" w:name="_Toc24208"/>
      <w:bookmarkStart w:id="17" w:name="_Toc13168"/>
      <w:r>
        <w:rPr>
          <w:rFonts w:hint="eastAsia"/>
          <w:color w:val="auto"/>
          <w:u w:val="none"/>
        </w:rPr>
        <w:t>验收应在</w:t>
      </w:r>
      <w:r>
        <w:rPr>
          <w:rFonts w:hint="eastAsia"/>
          <w:color w:val="auto"/>
          <w:u w:val="none"/>
          <w:lang w:eastAsia="zh-CN"/>
        </w:rPr>
        <w:t>甲方</w:t>
      </w:r>
      <w:r>
        <w:rPr>
          <w:rFonts w:hint="eastAsia"/>
          <w:color w:val="auto"/>
          <w:u w:val="none"/>
        </w:rPr>
        <w:t>和</w:t>
      </w:r>
      <w:r>
        <w:rPr>
          <w:rFonts w:hint="eastAsia"/>
          <w:color w:val="auto"/>
          <w:u w:val="none"/>
          <w:lang w:eastAsia="zh-CN"/>
        </w:rPr>
        <w:t>乙方</w:t>
      </w:r>
      <w:r>
        <w:rPr>
          <w:rFonts w:hint="eastAsia"/>
          <w:color w:val="auto"/>
          <w:u w:val="none"/>
        </w:rPr>
        <w:t>共同参加下进行，依据</w:t>
      </w:r>
      <w:r>
        <w:rPr>
          <w:rFonts w:hint="eastAsia"/>
          <w:color w:val="auto"/>
          <w:u w:val="none"/>
          <w:lang w:val="en-US" w:eastAsia="zh-CN"/>
        </w:rPr>
        <w:t>相关</w:t>
      </w:r>
      <w:r>
        <w:rPr>
          <w:rFonts w:hint="eastAsia"/>
          <w:color w:val="auto"/>
          <w:u w:val="none"/>
        </w:rPr>
        <w:t>要求进行验收，并按国家有关规定、规范进行。</w:t>
      </w:r>
    </w:p>
    <w:p w14:paraId="5052D67E">
      <w:pPr>
        <w:bidi w:val="0"/>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八、售后服务要求</w:t>
      </w:r>
    </w:p>
    <w:p w14:paraId="7B35991C">
      <w:pPr>
        <w:ind w:firstLine="420" w:firstLineChars="200"/>
        <w:rPr>
          <w:rFonts w:hint="eastAsia" w:ascii="宋体" w:hAnsi="宋体" w:eastAsia="宋体" w:cs="宋体"/>
          <w:color w:val="auto"/>
          <w:u w:val="none"/>
          <w:lang w:val="en-US" w:eastAsia="zh-CN"/>
        </w:rPr>
      </w:pPr>
      <w:r>
        <w:rPr>
          <w:rFonts w:hint="eastAsia" w:ascii="宋体" w:hAnsi="宋体" w:eastAsia="宋体" w:cs="宋体"/>
          <w:color w:val="auto"/>
          <w:u w:val="none"/>
          <w:lang w:val="en-US" w:eastAsia="zh-CN"/>
        </w:rPr>
        <w:t>1.急需物资接到</w:t>
      </w:r>
      <w:r>
        <w:rPr>
          <w:rFonts w:hint="eastAsia" w:cs="宋体"/>
          <w:color w:val="auto"/>
          <w:u w:val="none"/>
          <w:lang w:val="en-US" w:eastAsia="zh-CN"/>
        </w:rPr>
        <w:t>甲方</w:t>
      </w:r>
      <w:r>
        <w:rPr>
          <w:rFonts w:hint="eastAsia" w:ascii="宋体" w:hAnsi="宋体" w:eastAsia="宋体" w:cs="宋体"/>
          <w:color w:val="auto"/>
          <w:u w:val="none"/>
          <w:lang w:val="en-US" w:eastAsia="zh-CN"/>
        </w:rPr>
        <w:t>电话通知后2小时内积极响应并配送；</w:t>
      </w:r>
    </w:p>
    <w:p w14:paraId="6EE84E22">
      <w:pPr>
        <w:ind w:firstLine="420" w:firstLineChars="200"/>
        <w:rPr>
          <w:rFonts w:hint="eastAsia" w:ascii="宋体" w:hAnsi="宋体" w:eastAsia="宋体" w:cs="宋体"/>
          <w:color w:val="auto"/>
          <w:u w:val="none"/>
          <w:lang w:val="en-US" w:eastAsia="zh-CN"/>
        </w:rPr>
      </w:pPr>
      <w:r>
        <w:rPr>
          <w:rFonts w:hint="eastAsia" w:ascii="宋体" w:hAnsi="宋体" w:eastAsia="宋体" w:cs="宋体"/>
          <w:color w:val="auto"/>
          <w:u w:val="none"/>
          <w:lang w:val="en-US" w:eastAsia="zh-CN"/>
        </w:rPr>
        <w:t>2.对危及人体健康的食品质量问题采取零容忍措施，一经发现，当日所送同批次货品全部退货，并由</w:t>
      </w:r>
      <w:r>
        <w:rPr>
          <w:rFonts w:hint="eastAsia" w:cs="宋体"/>
          <w:color w:val="auto"/>
          <w:u w:val="none"/>
          <w:lang w:val="en-US" w:eastAsia="zh-CN"/>
        </w:rPr>
        <w:t>乙方</w:t>
      </w:r>
      <w:r>
        <w:rPr>
          <w:rFonts w:hint="eastAsia" w:ascii="宋体" w:hAnsi="宋体" w:eastAsia="宋体" w:cs="宋体"/>
          <w:color w:val="auto"/>
          <w:u w:val="none"/>
          <w:lang w:val="en-US" w:eastAsia="zh-CN"/>
        </w:rPr>
        <w:t>承担相关责任；</w:t>
      </w:r>
    </w:p>
    <w:p w14:paraId="081954A4">
      <w:pPr>
        <w:ind w:firstLine="420" w:firstLineChars="200"/>
        <w:rPr>
          <w:rFonts w:hint="eastAsia" w:ascii="宋体" w:hAnsi="宋体" w:eastAsia="宋体" w:cs="宋体"/>
          <w:color w:val="auto"/>
          <w:u w:val="none"/>
          <w:lang w:val="en-US" w:eastAsia="zh-CN"/>
        </w:rPr>
      </w:pPr>
      <w:r>
        <w:rPr>
          <w:rFonts w:hint="eastAsia" w:ascii="宋体" w:hAnsi="宋体" w:eastAsia="宋体" w:cs="宋体"/>
          <w:color w:val="auto"/>
          <w:u w:val="none"/>
          <w:lang w:val="en-US" w:eastAsia="zh-CN"/>
        </w:rPr>
        <w:t>3.验收时凡属于规格、质量等问题的货品，</w:t>
      </w:r>
      <w:r>
        <w:rPr>
          <w:rFonts w:hint="eastAsia" w:cs="宋体"/>
          <w:color w:val="auto"/>
          <w:u w:val="none"/>
          <w:lang w:val="en-US" w:eastAsia="zh-CN"/>
        </w:rPr>
        <w:t>乙方</w:t>
      </w:r>
      <w:r>
        <w:rPr>
          <w:rFonts w:hint="eastAsia" w:ascii="宋体" w:hAnsi="宋体" w:eastAsia="宋体" w:cs="宋体"/>
          <w:color w:val="auto"/>
          <w:u w:val="none"/>
          <w:lang w:val="en-US" w:eastAsia="zh-CN"/>
        </w:rPr>
        <w:t>必须按照</w:t>
      </w:r>
      <w:r>
        <w:rPr>
          <w:rFonts w:hint="eastAsia" w:cs="宋体"/>
          <w:color w:val="auto"/>
          <w:u w:val="none"/>
          <w:lang w:val="en-US" w:eastAsia="zh-CN"/>
        </w:rPr>
        <w:t>甲方</w:t>
      </w:r>
      <w:r>
        <w:rPr>
          <w:rFonts w:hint="eastAsia" w:ascii="宋体" w:hAnsi="宋体" w:eastAsia="宋体" w:cs="宋体"/>
          <w:color w:val="auto"/>
          <w:u w:val="none"/>
          <w:lang w:val="en-US" w:eastAsia="zh-CN"/>
        </w:rPr>
        <w:t>要求包退包换，退补货品需在60分钟内补给，不能影响</w:t>
      </w:r>
      <w:r>
        <w:rPr>
          <w:rFonts w:hint="eastAsia" w:cs="宋体"/>
          <w:color w:val="auto"/>
          <w:u w:val="none"/>
          <w:lang w:val="en-US" w:eastAsia="zh-CN"/>
        </w:rPr>
        <w:t>甲方</w:t>
      </w:r>
      <w:r>
        <w:rPr>
          <w:rFonts w:hint="eastAsia" w:ascii="宋体" w:hAnsi="宋体" w:eastAsia="宋体" w:cs="宋体"/>
          <w:color w:val="auto"/>
          <w:u w:val="none"/>
          <w:lang w:val="en-US" w:eastAsia="zh-CN"/>
        </w:rPr>
        <w:t>正常运行；</w:t>
      </w:r>
    </w:p>
    <w:p w14:paraId="289E7FA8">
      <w:pPr>
        <w:ind w:firstLine="420" w:firstLineChars="200"/>
        <w:rPr>
          <w:rFonts w:hint="eastAsia" w:ascii="宋体" w:hAnsi="宋体" w:eastAsia="宋体" w:cs="宋体"/>
          <w:color w:val="auto"/>
          <w:u w:val="none"/>
          <w:lang w:val="en-US" w:eastAsia="zh-CN"/>
        </w:rPr>
      </w:pPr>
      <w:r>
        <w:rPr>
          <w:rFonts w:hint="eastAsia" w:ascii="宋体" w:hAnsi="宋体" w:eastAsia="宋体" w:cs="宋体"/>
          <w:color w:val="auto"/>
          <w:u w:val="none"/>
          <w:lang w:val="en-US" w:eastAsia="zh-CN"/>
        </w:rPr>
        <w:t>4.若验收时未发现问题，而在食用前发现部分货品质量有问题，</w:t>
      </w:r>
      <w:r>
        <w:rPr>
          <w:rFonts w:hint="eastAsia" w:cs="宋体"/>
          <w:color w:val="auto"/>
          <w:u w:val="none"/>
          <w:lang w:val="en-US" w:eastAsia="zh-CN"/>
        </w:rPr>
        <w:t>甲方</w:t>
      </w:r>
      <w:r>
        <w:rPr>
          <w:rFonts w:hint="eastAsia" w:ascii="宋体" w:hAnsi="宋体" w:eastAsia="宋体" w:cs="宋体"/>
          <w:color w:val="auto"/>
          <w:u w:val="none"/>
          <w:lang w:val="en-US" w:eastAsia="zh-CN"/>
        </w:rPr>
        <w:t>立即通知</w:t>
      </w:r>
      <w:r>
        <w:rPr>
          <w:rFonts w:hint="eastAsia" w:cs="宋体"/>
          <w:color w:val="auto"/>
          <w:u w:val="none"/>
          <w:lang w:val="en-US" w:eastAsia="zh-CN"/>
        </w:rPr>
        <w:t>乙方</w:t>
      </w:r>
      <w:r>
        <w:rPr>
          <w:rFonts w:hint="eastAsia" w:ascii="宋体" w:hAnsi="宋体" w:eastAsia="宋体" w:cs="宋体"/>
          <w:color w:val="auto"/>
          <w:u w:val="none"/>
          <w:lang w:val="en-US" w:eastAsia="zh-CN"/>
        </w:rPr>
        <w:t>，将问题货品作退换货处理，并由</w:t>
      </w:r>
      <w:r>
        <w:rPr>
          <w:rFonts w:hint="eastAsia" w:cs="宋体"/>
          <w:color w:val="auto"/>
          <w:u w:val="none"/>
          <w:lang w:val="en-US" w:eastAsia="zh-CN"/>
        </w:rPr>
        <w:t>乙方</w:t>
      </w:r>
      <w:r>
        <w:rPr>
          <w:rFonts w:hint="eastAsia" w:ascii="宋体" w:hAnsi="宋体" w:eastAsia="宋体" w:cs="宋体"/>
          <w:color w:val="auto"/>
          <w:u w:val="none"/>
          <w:lang w:val="en-US" w:eastAsia="zh-CN"/>
        </w:rPr>
        <w:t>承担相关责任。</w:t>
      </w:r>
    </w:p>
    <w:p w14:paraId="76D05ED2">
      <w:pPr>
        <w:bidi w:val="0"/>
        <w:rPr>
          <w:b/>
          <w:bCs/>
          <w:color w:val="auto"/>
        </w:rPr>
      </w:pPr>
      <w:r>
        <w:rPr>
          <w:rFonts w:hint="eastAsia"/>
          <w:b/>
          <w:bCs/>
          <w:color w:val="auto"/>
          <w:lang w:val="en-US" w:eastAsia="zh-CN"/>
        </w:rPr>
        <w:t>九</w:t>
      </w:r>
      <w:r>
        <w:rPr>
          <w:rFonts w:hint="eastAsia"/>
          <w:b/>
          <w:bCs/>
          <w:color w:val="auto"/>
        </w:rPr>
        <w:t>、技术要求</w:t>
      </w:r>
      <w:bookmarkEnd w:id="15"/>
      <w:bookmarkEnd w:id="16"/>
      <w:bookmarkEnd w:id="17"/>
    </w:p>
    <w:p w14:paraId="045553A5">
      <w:pPr>
        <w:ind w:firstLine="420" w:firstLineChars="200"/>
        <w:rPr>
          <w:b/>
          <w:bCs/>
          <w:color w:val="auto"/>
        </w:rPr>
      </w:pPr>
      <w:r>
        <w:rPr>
          <w:rFonts w:hint="eastAsia"/>
          <w:color w:val="auto"/>
          <w:u w:val="single"/>
        </w:rPr>
        <w:t>本</w:t>
      </w:r>
      <w:r>
        <w:rPr>
          <w:rFonts w:hint="eastAsia"/>
          <w:b/>
          <w:bCs/>
          <w:color w:val="auto"/>
          <w:u w:val="single"/>
        </w:rPr>
        <w:t>合同标的</w:t>
      </w:r>
      <w:r>
        <w:rPr>
          <w:rFonts w:hint="eastAsia"/>
          <w:color w:val="auto"/>
          <w:u w:val="single"/>
        </w:rPr>
        <w:t>的“技术要求”按照《技术要求》（附件</w:t>
      </w:r>
      <w:r>
        <w:rPr>
          <w:rFonts w:hint="eastAsia"/>
          <w:color w:val="auto"/>
          <w:u w:val="single"/>
          <w:lang w:val="en-US" w:eastAsia="zh-CN"/>
        </w:rPr>
        <w:t>1</w:t>
      </w:r>
      <w:r>
        <w:rPr>
          <w:rFonts w:hint="eastAsia"/>
          <w:color w:val="auto"/>
          <w:u w:val="single"/>
        </w:rPr>
        <w:t>）执行。</w:t>
      </w:r>
    </w:p>
    <w:p w14:paraId="1D7DD1A9">
      <w:pPr>
        <w:bidi w:val="0"/>
        <w:rPr>
          <w:b/>
          <w:bCs/>
          <w:color w:val="auto"/>
        </w:rPr>
      </w:pPr>
      <w:bookmarkStart w:id="18" w:name="_Toc4384"/>
      <w:bookmarkStart w:id="19" w:name="_Toc17279"/>
      <w:bookmarkStart w:id="20" w:name="_Toc7257"/>
      <w:r>
        <w:rPr>
          <w:rFonts w:hint="eastAsia"/>
          <w:b/>
          <w:bCs/>
          <w:color w:val="auto"/>
          <w:lang w:val="en-US" w:eastAsia="zh-CN"/>
        </w:rPr>
        <w:t>十</w:t>
      </w:r>
      <w:r>
        <w:rPr>
          <w:rFonts w:hint="eastAsia"/>
          <w:b/>
          <w:bCs/>
          <w:color w:val="auto"/>
        </w:rPr>
        <w:t>、双方权利</w:t>
      </w:r>
      <w:r>
        <w:rPr>
          <w:rFonts w:hint="eastAsia"/>
          <w:b/>
          <w:bCs/>
          <w:color w:val="auto"/>
          <w:lang w:val="en-US" w:eastAsia="zh-CN"/>
        </w:rPr>
        <w:t>与</w:t>
      </w:r>
      <w:r>
        <w:rPr>
          <w:rFonts w:hint="eastAsia"/>
          <w:b/>
          <w:bCs/>
          <w:color w:val="auto"/>
        </w:rPr>
        <w:t>义务</w:t>
      </w:r>
      <w:bookmarkEnd w:id="18"/>
      <w:bookmarkEnd w:id="19"/>
      <w:bookmarkEnd w:id="20"/>
    </w:p>
    <w:p w14:paraId="703A52F7">
      <w:pPr>
        <w:ind w:firstLine="210" w:firstLineChars="100"/>
        <w:rPr>
          <w:rFonts w:cs="黑体"/>
          <w:color w:val="auto"/>
        </w:rPr>
      </w:pPr>
      <w:r>
        <w:rPr>
          <w:rFonts w:hint="eastAsia" w:cs="黑体"/>
          <w:color w:val="auto"/>
        </w:rPr>
        <w:t>1.甲方权利与义务</w:t>
      </w:r>
    </w:p>
    <w:p w14:paraId="5EAEF326">
      <w:pPr>
        <w:ind w:firstLine="420" w:firstLineChars="200"/>
        <w:rPr>
          <w:rFonts w:hint="eastAsia" w:cs="黑体"/>
          <w:color w:val="auto"/>
        </w:rPr>
      </w:pPr>
      <w:r>
        <w:rPr>
          <w:rFonts w:hint="eastAsia" w:cs="黑体"/>
          <w:color w:val="auto"/>
          <w:lang w:val="en-US" w:eastAsia="zh-CN"/>
        </w:rPr>
        <w:t>1.1</w:t>
      </w:r>
      <w:r>
        <w:rPr>
          <w:rFonts w:hint="eastAsia" w:cs="黑体"/>
          <w:color w:val="auto"/>
        </w:rPr>
        <w:t>甲方有权按照合同约定的标准验收乙方提供的服务。</w:t>
      </w:r>
    </w:p>
    <w:p w14:paraId="375285A2">
      <w:pPr>
        <w:ind w:firstLine="420" w:firstLineChars="200"/>
        <w:rPr>
          <w:rFonts w:hint="eastAsia" w:cs="黑体"/>
          <w:color w:val="auto"/>
        </w:rPr>
      </w:pPr>
      <w:r>
        <w:rPr>
          <w:rFonts w:hint="eastAsia" w:cs="黑体"/>
          <w:color w:val="auto"/>
          <w:lang w:val="en-US" w:eastAsia="zh-CN"/>
        </w:rPr>
        <w:t>1.2</w:t>
      </w:r>
      <w:r>
        <w:rPr>
          <w:rFonts w:hint="eastAsia" w:cs="黑体"/>
          <w:color w:val="auto"/>
        </w:rPr>
        <w:t>甲方有权监督、指导乙方的服务实施过程，对不符合要求的行为提出整改意见，乙方应无条件配合。</w:t>
      </w:r>
    </w:p>
    <w:p w14:paraId="7706A77A">
      <w:pPr>
        <w:ind w:firstLine="420" w:firstLineChars="200"/>
        <w:rPr>
          <w:rFonts w:hint="eastAsia" w:cs="黑体"/>
          <w:color w:val="auto"/>
        </w:rPr>
      </w:pPr>
      <w:r>
        <w:rPr>
          <w:rFonts w:hint="eastAsia" w:cs="黑体"/>
          <w:color w:val="auto"/>
          <w:lang w:val="en-US" w:eastAsia="zh-CN"/>
        </w:rPr>
        <w:t>1.3</w:t>
      </w:r>
      <w:r>
        <w:rPr>
          <w:rFonts w:hint="eastAsia" w:cs="黑体"/>
          <w:color w:val="auto"/>
        </w:rPr>
        <w:t>甲方协调乙方工作中需配合解决的问题，提供必要支持。</w:t>
      </w:r>
    </w:p>
    <w:p w14:paraId="114792EA">
      <w:pPr>
        <w:ind w:firstLine="420" w:firstLineChars="200"/>
        <w:rPr>
          <w:rFonts w:hint="eastAsia" w:cs="黑体"/>
          <w:color w:val="auto"/>
        </w:rPr>
      </w:pPr>
      <w:r>
        <w:rPr>
          <w:rFonts w:hint="eastAsia" w:cs="黑体"/>
          <w:color w:val="auto"/>
          <w:lang w:val="en-US" w:eastAsia="zh-CN"/>
        </w:rPr>
        <w:t>1.4</w:t>
      </w:r>
      <w:r>
        <w:rPr>
          <w:rFonts w:hint="eastAsia" w:cs="黑体"/>
          <w:color w:val="auto"/>
        </w:rPr>
        <w:t>因履行本合同所产生的研究开发成果及其相关知识产权归甲方所有，乙方不得擅自使用或披露。</w:t>
      </w:r>
    </w:p>
    <w:p w14:paraId="286B81AA">
      <w:pPr>
        <w:ind w:firstLine="210" w:firstLineChars="100"/>
        <w:rPr>
          <w:rFonts w:cs="黑体"/>
          <w:color w:val="auto"/>
        </w:rPr>
      </w:pPr>
      <w:r>
        <w:rPr>
          <w:rFonts w:hint="eastAsia" w:cs="黑体"/>
          <w:color w:val="auto"/>
        </w:rPr>
        <w:t>2.乙方权利与义务</w:t>
      </w:r>
    </w:p>
    <w:p w14:paraId="62D76D3C">
      <w:pPr>
        <w:ind w:firstLine="420" w:firstLineChars="200"/>
        <w:rPr>
          <w:rFonts w:hint="eastAsia" w:cs="黑体"/>
          <w:color w:val="auto"/>
        </w:rPr>
      </w:pPr>
      <w:r>
        <w:rPr>
          <w:rFonts w:hint="eastAsia" w:cs="黑体"/>
          <w:color w:val="auto"/>
          <w:lang w:val="en-US" w:eastAsia="zh-CN"/>
        </w:rPr>
        <w:t>2.1</w:t>
      </w:r>
      <w:r>
        <w:rPr>
          <w:rFonts w:hint="eastAsia" w:cs="黑体"/>
          <w:color w:val="auto"/>
        </w:rPr>
        <w:t>乙方应按照招标文件及投标文件的承诺完成服务内容，未经甲方书面同意不得擅自变更服务方案或降低服务标准。</w:t>
      </w:r>
    </w:p>
    <w:p w14:paraId="2F1F98AE">
      <w:pPr>
        <w:ind w:firstLine="420" w:firstLineChars="200"/>
        <w:rPr>
          <w:rFonts w:hint="eastAsia" w:cs="黑体"/>
          <w:color w:val="auto"/>
        </w:rPr>
      </w:pPr>
      <w:r>
        <w:rPr>
          <w:rFonts w:hint="eastAsia" w:cs="黑体"/>
          <w:color w:val="auto"/>
          <w:lang w:val="en-US" w:eastAsia="zh-CN"/>
        </w:rPr>
        <w:t>2.2</w:t>
      </w:r>
      <w:r>
        <w:rPr>
          <w:rFonts w:hint="eastAsia" w:cs="黑体"/>
          <w:color w:val="auto"/>
        </w:rPr>
        <w:t>乙方及其服务人员应具备履行合同所需的专业资质和技能，并严格遵守安全生产管理规定，采取必要安全防护措施。因乙方原因导致的安全事故责任及费用由乙方承担。</w:t>
      </w:r>
    </w:p>
    <w:p w14:paraId="02A69492">
      <w:pPr>
        <w:ind w:firstLine="420" w:firstLineChars="200"/>
        <w:rPr>
          <w:rFonts w:hint="eastAsia" w:cs="黑体"/>
          <w:color w:val="auto"/>
        </w:rPr>
      </w:pPr>
      <w:r>
        <w:rPr>
          <w:rFonts w:hint="eastAsia" w:cs="黑体"/>
          <w:color w:val="auto"/>
          <w:lang w:val="en-US" w:eastAsia="zh-CN"/>
        </w:rPr>
        <w:t>2.3</w:t>
      </w:r>
      <w:r>
        <w:rPr>
          <w:rFonts w:hint="eastAsia" w:cs="黑体"/>
          <w:color w:val="auto"/>
        </w:rPr>
        <w:t>乙方在服务过程中应保护甲方现场设施，因乙方防护不力造成的损失由乙方全额赔偿。</w:t>
      </w:r>
    </w:p>
    <w:p w14:paraId="78FEFDE4">
      <w:pPr>
        <w:ind w:firstLine="420" w:firstLineChars="200"/>
        <w:rPr>
          <w:rFonts w:hint="eastAsia" w:cs="黑体"/>
          <w:color w:val="auto"/>
        </w:rPr>
      </w:pPr>
      <w:r>
        <w:rPr>
          <w:rFonts w:hint="eastAsia" w:cs="黑体"/>
          <w:color w:val="auto"/>
          <w:lang w:val="en-US" w:eastAsia="zh-CN"/>
        </w:rPr>
        <w:t>2.4</w:t>
      </w:r>
      <w:r>
        <w:rPr>
          <w:rFonts w:hint="eastAsia" w:cs="黑体"/>
          <w:color w:val="auto"/>
        </w:rPr>
        <w:t>乙方须为危险作业人员办理意外伤害保险，并为服务场地内自有人员、设备及财产投保相关险种，支付保险费用。</w:t>
      </w:r>
    </w:p>
    <w:p w14:paraId="4E2152A9">
      <w:pPr>
        <w:ind w:firstLine="420" w:firstLineChars="200"/>
        <w:rPr>
          <w:rFonts w:hint="eastAsia" w:cs="黑体"/>
          <w:color w:val="auto"/>
        </w:rPr>
      </w:pPr>
      <w:r>
        <w:rPr>
          <w:rFonts w:hint="eastAsia" w:cs="黑体"/>
          <w:color w:val="auto"/>
          <w:lang w:val="en-US" w:eastAsia="zh-CN"/>
        </w:rPr>
        <w:t>2.5</w:t>
      </w:r>
      <w:r>
        <w:rPr>
          <w:rFonts w:hint="eastAsia" w:cs="黑体"/>
          <w:color w:val="auto"/>
        </w:rPr>
        <w:t>乙方应依法与服务人员建立劳动关系，按时足额支付劳动报酬及社保费用，妥善处理劳动争议，不得因此影响合同履行。</w:t>
      </w:r>
    </w:p>
    <w:p w14:paraId="17DE86C7">
      <w:pPr>
        <w:ind w:firstLine="420" w:firstLineChars="200"/>
        <w:rPr>
          <w:rFonts w:hint="eastAsia" w:cs="黑体"/>
          <w:color w:val="auto"/>
        </w:rPr>
      </w:pPr>
      <w:r>
        <w:rPr>
          <w:rFonts w:hint="eastAsia" w:cs="黑体"/>
          <w:color w:val="auto"/>
          <w:lang w:val="en-US" w:eastAsia="zh-CN"/>
        </w:rPr>
        <w:t>2.6</w:t>
      </w:r>
      <w:r>
        <w:rPr>
          <w:rFonts w:hint="eastAsia" w:cs="黑体"/>
          <w:color w:val="auto"/>
        </w:rPr>
        <w:t>乙方保证服务内容不侵犯第三方知识产权，如因侵权导致甲方受损，乙方须承担全部法律责任及经济赔偿。</w:t>
      </w:r>
    </w:p>
    <w:p w14:paraId="30A200CD">
      <w:pPr>
        <w:ind w:firstLine="420" w:firstLineChars="200"/>
        <w:rPr>
          <w:rFonts w:hint="eastAsia" w:cs="黑体"/>
          <w:color w:val="auto"/>
        </w:rPr>
      </w:pPr>
      <w:r>
        <w:rPr>
          <w:rFonts w:hint="eastAsia" w:cs="黑体"/>
          <w:color w:val="auto"/>
          <w:lang w:val="en-US" w:eastAsia="zh-CN"/>
        </w:rPr>
        <w:t>2.7</w:t>
      </w:r>
      <w:r>
        <w:rPr>
          <w:rFonts w:hint="eastAsia" w:cs="黑体"/>
          <w:color w:val="auto"/>
        </w:rPr>
        <w:t>乙方应对合同履行过程中知悉的甲方信息承担保密义务，未经书面同意不得向任何第三方披露或使用（本条款永久有效，不因合同终止（解除）而终止）。</w:t>
      </w:r>
    </w:p>
    <w:p w14:paraId="6A9584C7">
      <w:pPr>
        <w:bidi w:val="0"/>
        <w:rPr>
          <w:b/>
          <w:bCs/>
          <w:color w:val="auto"/>
        </w:rPr>
      </w:pPr>
      <w:r>
        <w:rPr>
          <w:rFonts w:hint="eastAsia"/>
          <w:b/>
          <w:bCs/>
          <w:color w:val="auto"/>
        </w:rPr>
        <w:t>十</w:t>
      </w:r>
      <w:r>
        <w:rPr>
          <w:rFonts w:hint="eastAsia"/>
          <w:b/>
          <w:bCs/>
          <w:color w:val="auto"/>
          <w:lang w:val="en-US" w:eastAsia="zh-CN"/>
        </w:rPr>
        <w:t>一</w:t>
      </w:r>
      <w:r>
        <w:rPr>
          <w:rFonts w:hint="eastAsia"/>
          <w:b/>
          <w:bCs/>
          <w:color w:val="auto"/>
        </w:rPr>
        <w:t>、合同一般条款</w:t>
      </w:r>
    </w:p>
    <w:p w14:paraId="169B9DB8">
      <w:pPr>
        <w:ind w:firstLine="210" w:firstLineChars="100"/>
        <w:rPr>
          <w:rFonts w:hint="eastAsia" w:eastAsia="宋体"/>
          <w:color w:val="auto"/>
          <w:lang w:eastAsia="zh-CN"/>
        </w:rPr>
      </w:pPr>
      <w:r>
        <w:rPr>
          <w:rFonts w:hint="eastAsia"/>
          <w:color w:val="auto"/>
        </w:rPr>
        <w:t>1.违约</w:t>
      </w:r>
      <w:r>
        <w:rPr>
          <w:rFonts w:hint="eastAsia"/>
          <w:color w:val="auto"/>
          <w:lang w:val="en-US" w:eastAsia="zh-CN"/>
        </w:rPr>
        <w:t>责任</w:t>
      </w:r>
    </w:p>
    <w:p w14:paraId="48D17099">
      <w:pPr>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1.1根本违约</w:t>
      </w:r>
    </w:p>
    <w:p w14:paraId="7C05D546">
      <w:pPr>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若乙方擅自转包或分包本合同标的，或提供虚假资质，甲方有权解除合同，且乙方应支付合同总金额15%的违约金，并赔偿甲方全部实际损失（含直接损失、合理间接损失及维权费用）。</w:t>
      </w:r>
    </w:p>
    <w:p w14:paraId="7F78514E">
      <w:pPr>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1.2一般违约</w:t>
      </w:r>
    </w:p>
    <w:p w14:paraId="7CBE5B98">
      <w:pPr>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若乙方发生服务响应超时、</w:t>
      </w:r>
      <w:r>
        <w:rPr>
          <w:rFonts w:hint="eastAsia" w:ascii="宋体" w:hAnsi="宋体" w:cs="宋体"/>
          <w:color w:val="auto"/>
          <w:szCs w:val="21"/>
          <w:lang w:eastAsia="zh-CN"/>
        </w:rPr>
        <w:t>交付货物不符合约定质量标准</w:t>
      </w:r>
      <w:r>
        <w:rPr>
          <w:rFonts w:hint="eastAsia" w:ascii="宋体" w:hAnsi="宋体" w:eastAsia="宋体" w:cs="宋体"/>
          <w:color w:val="auto"/>
          <w:sz w:val="21"/>
          <w:szCs w:val="21"/>
          <w:lang w:val="en-US" w:eastAsia="zh-CN"/>
        </w:rPr>
        <w:t>等非根本违约行为，每出现一次甲方有权</w:t>
      </w:r>
      <w:r>
        <w:rPr>
          <w:rFonts w:hint="eastAsia" w:ascii="宋体" w:hAnsi="宋体" w:cs="宋体"/>
          <w:color w:val="auto"/>
          <w:szCs w:val="21"/>
          <w:lang w:eastAsia="zh-CN"/>
        </w:rPr>
        <w:t>从应付乙方款项中</w:t>
      </w:r>
      <w:r>
        <w:rPr>
          <w:rFonts w:hint="eastAsia" w:ascii="宋体" w:hAnsi="宋体" w:eastAsia="宋体" w:cs="宋体"/>
          <w:color w:val="auto"/>
          <w:sz w:val="21"/>
          <w:szCs w:val="21"/>
          <w:lang w:val="en-US" w:eastAsia="zh-CN"/>
        </w:rPr>
        <w:t>扣减合同总金额</w:t>
      </w:r>
      <w:r>
        <w:rPr>
          <w:rFonts w:hint="eastAsia" w:ascii="宋体" w:hAnsi="宋体" w:eastAsia="宋体" w:cs="宋体"/>
          <w:color w:val="auto"/>
          <w:sz w:val="21"/>
          <w:szCs w:val="21"/>
          <w:u w:val="single"/>
          <w:lang w:val="en-US" w:eastAsia="zh-CN"/>
        </w:rPr>
        <w:t>1%</w:t>
      </w:r>
      <w:r>
        <w:rPr>
          <w:rFonts w:hint="eastAsia" w:cs="宋体"/>
          <w:color w:val="auto"/>
          <w:sz w:val="21"/>
          <w:szCs w:val="21"/>
          <w:u w:val="single"/>
          <w:lang w:val="en-US" w:eastAsia="zh-CN"/>
        </w:rPr>
        <w:t>作违约金</w:t>
      </w:r>
      <w:r>
        <w:rPr>
          <w:rFonts w:hint="eastAsia" w:ascii="宋体" w:hAnsi="宋体" w:eastAsia="宋体" w:cs="宋体"/>
          <w:color w:val="auto"/>
          <w:sz w:val="21"/>
          <w:szCs w:val="21"/>
          <w:lang w:val="en-US" w:eastAsia="zh-CN"/>
        </w:rPr>
        <w:t>；同一违约情形累计超过</w:t>
      </w:r>
      <w:r>
        <w:rPr>
          <w:rFonts w:hint="eastAsia" w:ascii="宋体" w:hAnsi="宋体" w:eastAsia="宋体" w:cs="宋体"/>
          <w:color w:val="auto"/>
          <w:sz w:val="21"/>
          <w:szCs w:val="21"/>
          <w:u w:val="single"/>
          <w:lang w:val="en-US" w:eastAsia="zh-CN"/>
        </w:rPr>
        <w:t>3</w:t>
      </w:r>
      <w:r>
        <w:rPr>
          <w:rFonts w:hint="eastAsia" w:ascii="宋体" w:hAnsi="宋体" w:eastAsia="宋体" w:cs="宋体"/>
          <w:color w:val="auto"/>
          <w:sz w:val="21"/>
          <w:szCs w:val="21"/>
          <w:lang w:val="en-US" w:eastAsia="zh-CN"/>
        </w:rPr>
        <w:t>次的，甲方可解除合同，并要求乙方支付合同总金额</w:t>
      </w:r>
      <w:r>
        <w:rPr>
          <w:rFonts w:hint="eastAsia" w:ascii="宋体" w:hAnsi="宋体" w:eastAsia="宋体" w:cs="宋体"/>
          <w:color w:val="auto"/>
          <w:sz w:val="21"/>
          <w:szCs w:val="21"/>
          <w:u w:val="single"/>
          <w:lang w:val="en-US" w:eastAsia="zh-CN"/>
        </w:rPr>
        <w:t>15%</w:t>
      </w:r>
      <w:r>
        <w:rPr>
          <w:rFonts w:hint="eastAsia" w:ascii="宋体" w:hAnsi="宋体" w:eastAsia="宋体" w:cs="宋体"/>
          <w:color w:val="auto"/>
          <w:sz w:val="21"/>
          <w:szCs w:val="21"/>
          <w:lang w:val="en-US" w:eastAsia="zh-CN"/>
        </w:rPr>
        <w:t>的违约金，同时乙方须赔偿甲方全部实际损失（含直接损失、合理间接损失及维权费用）。</w:t>
      </w:r>
    </w:p>
    <w:p w14:paraId="57A57545">
      <w:pPr>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1.3质量责任</w:t>
      </w:r>
    </w:p>
    <w:p w14:paraId="3514BFB4">
      <w:pPr>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若乙方交付成果未通过验收，</w:t>
      </w:r>
      <w:r>
        <w:rPr>
          <w:rFonts w:hint="eastAsia" w:cs="宋体"/>
          <w:color w:val="auto"/>
          <w:sz w:val="21"/>
          <w:szCs w:val="21"/>
          <w:lang w:val="en-US" w:eastAsia="zh-CN"/>
        </w:rPr>
        <w:t>乙方</w:t>
      </w:r>
      <w:r>
        <w:rPr>
          <w:rFonts w:hint="eastAsia" w:ascii="宋体" w:hAnsi="宋体" w:eastAsia="宋体" w:cs="宋体"/>
          <w:color w:val="auto"/>
          <w:sz w:val="21"/>
          <w:szCs w:val="21"/>
          <w:lang w:val="en-US" w:eastAsia="zh-CN"/>
        </w:rPr>
        <w:t>应</w:t>
      </w:r>
      <w:r>
        <w:rPr>
          <w:rFonts w:hint="eastAsia" w:ascii="宋体" w:hAnsi="宋体" w:cs="宋体"/>
          <w:color w:val="auto"/>
          <w:szCs w:val="21"/>
          <w:lang w:eastAsia="zh-CN"/>
        </w:rPr>
        <w:t>在甲方限期内</w:t>
      </w:r>
      <w:r>
        <w:rPr>
          <w:rFonts w:hint="eastAsia" w:ascii="宋体" w:hAnsi="宋体" w:eastAsia="宋体" w:cs="宋体"/>
          <w:color w:val="auto"/>
          <w:sz w:val="21"/>
          <w:szCs w:val="21"/>
          <w:lang w:val="en-US" w:eastAsia="zh-CN"/>
        </w:rPr>
        <w:t>无偿返工或重做</w:t>
      </w:r>
      <w:r>
        <w:rPr>
          <w:rFonts w:hint="eastAsia" w:ascii="宋体" w:hAnsi="宋体" w:cs="宋体"/>
          <w:color w:val="auto"/>
          <w:szCs w:val="21"/>
          <w:lang w:eastAsia="zh-CN"/>
        </w:rPr>
        <w:t>或更换为合格货物</w:t>
      </w:r>
      <w:r>
        <w:rPr>
          <w:rFonts w:hint="eastAsia" w:ascii="宋体" w:hAnsi="宋体" w:eastAsia="宋体" w:cs="宋体"/>
          <w:color w:val="auto"/>
          <w:sz w:val="21"/>
          <w:szCs w:val="21"/>
          <w:lang w:val="en-US" w:eastAsia="zh-CN"/>
        </w:rPr>
        <w:t>；若经</w:t>
      </w:r>
      <w:r>
        <w:rPr>
          <w:rFonts w:hint="eastAsia" w:ascii="宋体" w:hAnsi="宋体" w:eastAsia="宋体" w:cs="宋体"/>
          <w:color w:val="auto"/>
          <w:sz w:val="21"/>
          <w:szCs w:val="21"/>
          <w:u w:val="single"/>
          <w:lang w:val="en-US" w:eastAsia="zh-CN"/>
        </w:rPr>
        <w:t>3</w:t>
      </w:r>
      <w:r>
        <w:rPr>
          <w:rFonts w:hint="eastAsia" w:ascii="宋体" w:hAnsi="宋体" w:eastAsia="宋体" w:cs="宋体"/>
          <w:color w:val="auto"/>
          <w:sz w:val="21"/>
          <w:szCs w:val="21"/>
          <w:lang w:val="en-US" w:eastAsia="zh-CN"/>
        </w:rPr>
        <w:t>次验收仍不合格的，甲方有权解除合同，乙方须退还该成果的全部已收款项，支付合同总金额</w:t>
      </w:r>
      <w:r>
        <w:rPr>
          <w:rFonts w:hint="eastAsia" w:ascii="宋体" w:hAnsi="宋体" w:eastAsia="宋体" w:cs="宋体"/>
          <w:color w:val="auto"/>
          <w:sz w:val="21"/>
          <w:szCs w:val="21"/>
          <w:u w:val="single"/>
          <w:lang w:val="en-US" w:eastAsia="zh-CN"/>
        </w:rPr>
        <w:t>15%</w:t>
      </w:r>
      <w:r>
        <w:rPr>
          <w:rFonts w:hint="eastAsia" w:ascii="宋体" w:hAnsi="宋体" w:eastAsia="宋体" w:cs="宋体"/>
          <w:color w:val="auto"/>
          <w:sz w:val="21"/>
          <w:szCs w:val="21"/>
          <w:lang w:val="en-US" w:eastAsia="zh-CN"/>
        </w:rPr>
        <w:t>的违约金，并赔偿甲方全部实际损失（含直接损失、合理间接损失及维权费用）。</w:t>
      </w:r>
    </w:p>
    <w:p w14:paraId="4CE2D860">
      <w:pPr>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1.4安全责任</w:t>
      </w:r>
    </w:p>
    <w:p w14:paraId="59D37805">
      <w:pPr>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若因乙方过错导致安全事故，乙方应全额赔偿甲方损失，并额外支付合同总金额</w:t>
      </w:r>
      <w:r>
        <w:rPr>
          <w:rFonts w:hint="eastAsia" w:ascii="宋体" w:hAnsi="宋体" w:eastAsia="宋体" w:cs="宋体"/>
          <w:color w:val="auto"/>
          <w:sz w:val="21"/>
          <w:szCs w:val="21"/>
          <w:u w:val="single"/>
          <w:lang w:val="en-US" w:eastAsia="zh-CN"/>
        </w:rPr>
        <w:t>5%</w:t>
      </w:r>
      <w:r>
        <w:rPr>
          <w:rFonts w:hint="eastAsia" w:ascii="宋体" w:hAnsi="宋体" w:eastAsia="宋体" w:cs="宋体"/>
          <w:color w:val="auto"/>
          <w:sz w:val="21"/>
          <w:szCs w:val="21"/>
          <w:lang w:val="en-US" w:eastAsia="zh-CN"/>
        </w:rPr>
        <w:t>的违约金；若该事故造成甲方被行政处罚，乙方还应承担全部罚金及名誉损失赔偿（赔偿金额不低于合同总金额的</w:t>
      </w:r>
      <w:r>
        <w:rPr>
          <w:rFonts w:hint="eastAsia" w:ascii="宋体" w:hAnsi="宋体" w:eastAsia="宋体" w:cs="宋体"/>
          <w:color w:val="auto"/>
          <w:sz w:val="21"/>
          <w:szCs w:val="21"/>
          <w:u w:val="single"/>
          <w:lang w:val="en-US" w:eastAsia="zh-CN"/>
        </w:rPr>
        <w:t>15%</w:t>
      </w:r>
      <w:r>
        <w:rPr>
          <w:rFonts w:hint="eastAsia" w:ascii="宋体" w:hAnsi="宋体" w:eastAsia="宋体" w:cs="宋体"/>
          <w:color w:val="auto"/>
          <w:sz w:val="21"/>
          <w:szCs w:val="21"/>
          <w:lang w:val="en-US" w:eastAsia="zh-CN"/>
        </w:rPr>
        <w:t>）。</w:t>
      </w:r>
    </w:p>
    <w:p w14:paraId="3A596600">
      <w:pPr>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1.5知识产权侵权</w:t>
      </w:r>
    </w:p>
    <w:p w14:paraId="4286F1D8">
      <w:pPr>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若乙方因提供本合同服务侵犯第三方知识产权，</w:t>
      </w:r>
      <w:r>
        <w:rPr>
          <w:rFonts w:hint="eastAsia" w:cs="宋体"/>
          <w:color w:val="auto"/>
          <w:sz w:val="21"/>
          <w:szCs w:val="21"/>
          <w:lang w:val="en-US" w:eastAsia="zh-CN"/>
        </w:rPr>
        <w:t>乙方</w:t>
      </w:r>
      <w:r>
        <w:rPr>
          <w:rFonts w:hint="eastAsia" w:ascii="宋体" w:hAnsi="宋体" w:eastAsia="宋体" w:cs="宋体"/>
          <w:color w:val="auto"/>
          <w:sz w:val="21"/>
          <w:szCs w:val="21"/>
          <w:lang w:val="en-US" w:eastAsia="zh-CN"/>
        </w:rPr>
        <w:t>应承担全部诉讼费、赔偿金及甲方为维权支付的律师费，并按甲方实际损失支付违约金；若实际损失无法计算，违约金以合同总金额的</w:t>
      </w:r>
      <w:r>
        <w:rPr>
          <w:rFonts w:hint="eastAsia" w:ascii="宋体" w:hAnsi="宋体" w:eastAsia="宋体" w:cs="宋体"/>
          <w:color w:val="auto"/>
          <w:sz w:val="21"/>
          <w:szCs w:val="21"/>
          <w:u w:val="single"/>
          <w:lang w:val="en-US" w:eastAsia="zh-CN"/>
        </w:rPr>
        <w:t>15%</w:t>
      </w:r>
      <w:r>
        <w:rPr>
          <w:rFonts w:hint="eastAsia" w:ascii="宋体" w:hAnsi="宋体" w:eastAsia="宋体" w:cs="宋体"/>
          <w:color w:val="auto"/>
          <w:sz w:val="21"/>
          <w:szCs w:val="21"/>
          <w:lang w:val="en-US" w:eastAsia="zh-CN"/>
        </w:rPr>
        <w:t>为准。</w:t>
      </w:r>
    </w:p>
    <w:p w14:paraId="70FAF73E">
      <w:pPr>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1.6保密违约</w:t>
      </w:r>
    </w:p>
    <w:p w14:paraId="79EA4DD0">
      <w:pPr>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若乙方泄露甲方商业秘密，</w:t>
      </w:r>
      <w:r>
        <w:rPr>
          <w:rFonts w:hint="eastAsia" w:cs="宋体"/>
          <w:color w:val="auto"/>
          <w:sz w:val="21"/>
          <w:szCs w:val="21"/>
          <w:lang w:val="en-US" w:eastAsia="zh-CN"/>
        </w:rPr>
        <w:t>乙方</w:t>
      </w:r>
      <w:r>
        <w:rPr>
          <w:rFonts w:hint="eastAsia" w:ascii="宋体" w:hAnsi="宋体" w:eastAsia="宋体" w:cs="宋体"/>
          <w:color w:val="auto"/>
          <w:sz w:val="21"/>
          <w:szCs w:val="21"/>
          <w:lang w:val="en-US" w:eastAsia="zh-CN"/>
        </w:rPr>
        <w:t>应支付合同总金额</w:t>
      </w:r>
      <w:r>
        <w:rPr>
          <w:rFonts w:hint="eastAsia" w:ascii="宋体" w:hAnsi="宋体" w:eastAsia="宋体" w:cs="宋体"/>
          <w:color w:val="auto"/>
          <w:sz w:val="21"/>
          <w:szCs w:val="21"/>
          <w:u w:val="single"/>
          <w:lang w:val="en-US" w:eastAsia="zh-CN"/>
        </w:rPr>
        <w:t>15%</w:t>
      </w:r>
      <w:r>
        <w:rPr>
          <w:rFonts w:hint="eastAsia" w:ascii="宋体" w:hAnsi="宋体" w:eastAsia="宋体" w:cs="宋体"/>
          <w:color w:val="auto"/>
          <w:sz w:val="21"/>
          <w:szCs w:val="21"/>
          <w:lang w:val="en-US" w:eastAsia="zh-CN"/>
        </w:rPr>
        <w:t>的违约金；若该违约金不足以弥补甲方损失（包括但不限于商誉损失、数据恢复费用等），乙方应按实际损失予以赔偿。</w:t>
      </w:r>
    </w:p>
    <w:p w14:paraId="735CF484">
      <w:pPr>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1.7</w:t>
      </w:r>
      <w:r>
        <w:rPr>
          <w:rFonts w:hint="eastAsia" w:ascii="宋体" w:hAnsi="宋体" w:eastAsia="宋体" w:cs="宋体"/>
          <w:color w:val="auto"/>
          <w:sz w:val="21"/>
          <w:szCs w:val="21"/>
        </w:rPr>
        <w:t>损失赔偿范围</w:t>
      </w:r>
    </w:p>
    <w:p w14:paraId="0A90C121">
      <w:pPr>
        <w:ind w:firstLine="420" w:firstLineChars="200"/>
        <w:rPr>
          <w:rFonts w:hint="eastAsia"/>
          <w:color w:val="auto"/>
        </w:rPr>
      </w:pPr>
      <w:r>
        <w:rPr>
          <w:rFonts w:hint="eastAsia" w:ascii="宋体" w:hAnsi="宋体" w:eastAsia="宋体" w:cs="宋体"/>
          <w:color w:val="auto"/>
          <w:sz w:val="21"/>
          <w:szCs w:val="21"/>
          <w:lang w:val="en-US" w:eastAsia="zh-CN"/>
        </w:rPr>
        <w:t>乙方承担的赔偿责任范围包括甲方的直接损失、合理间接损失（如预期利益损失）及维权成本（含律师费、保全费、调查费、检测费、鉴定费、公证费、评估费、担保费等）</w:t>
      </w:r>
      <w:r>
        <w:rPr>
          <w:rFonts w:hint="eastAsia"/>
          <w:color w:val="auto"/>
        </w:rPr>
        <w:t>。</w:t>
      </w:r>
    </w:p>
    <w:p w14:paraId="50FB84F3">
      <w:pPr>
        <w:ind w:firstLine="210" w:firstLineChars="100"/>
        <w:rPr>
          <w:rFonts w:hint="eastAsia" w:eastAsia="宋体"/>
          <w:color w:val="auto"/>
          <w:lang w:eastAsia="zh-CN"/>
        </w:rPr>
      </w:pPr>
      <w:r>
        <w:rPr>
          <w:rFonts w:hint="eastAsia"/>
          <w:color w:val="auto"/>
        </w:rPr>
        <w:t>2.不可抗力</w:t>
      </w:r>
    </w:p>
    <w:p w14:paraId="604501D9">
      <w:pPr>
        <w:ind w:firstLine="420" w:firstLineChars="200"/>
        <w:rPr>
          <w:rFonts w:hint="eastAsia" w:eastAsia="宋体"/>
          <w:color w:val="auto"/>
          <w:lang w:eastAsia="zh-CN"/>
        </w:rPr>
      </w:pPr>
      <w:r>
        <w:rPr>
          <w:rFonts w:hint="eastAsia"/>
          <w:color w:val="auto"/>
        </w:rPr>
        <w:t>2.1如果双方中任何一方遭遇法律规定的不可抗力，致使合同履行受阻时，履行合同的期限应予延长，延长的期限应相当于不可抗力所影响的时间。</w:t>
      </w:r>
    </w:p>
    <w:p w14:paraId="732577B9">
      <w:pPr>
        <w:ind w:firstLine="420" w:firstLineChars="200"/>
        <w:rPr>
          <w:rFonts w:hint="eastAsia" w:eastAsia="宋体"/>
          <w:color w:val="auto"/>
          <w:lang w:eastAsia="zh-CN"/>
        </w:rPr>
      </w:pPr>
      <w:r>
        <w:rPr>
          <w:rFonts w:hint="eastAsia"/>
          <w:color w:val="auto"/>
        </w:rPr>
        <w:t>2.2受事故影响的一方应在不可抗力的事故发生后</w:t>
      </w:r>
      <w:r>
        <w:rPr>
          <w:rFonts w:hint="eastAsia"/>
          <w:color w:val="auto"/>
          <w:u w:val="single"/>
          <w:lang w:val="en-US" w:eastAsia="zh-CN"/>
        </w:rPr>
        <w:t>48</w:t>
      </w:r>
      <w:r>
        <w:rPr>
          <w:rFonts w:hint="eastAsia"/>
          <w:color w:val="auto"/>
        </w:rPr>
        <w:t>小时内以书面形式通知另一方，并在事故发生后</w:t>
      </w:r>
      <w:r>
        <w:rPr>
          <w:rFonts w:hint="eastAsia"/>
          <w:color w:val="auto"/>
          <w:u w:val="single"/>
        </w:rPr>
        <w:t>7</w:t>
      </w:r>
      <w:r>
        <w:rPr>
          <w:rFonts w:hint="eastAsia"/>
          <w:color w:val="auto"/>
        </w:rPr>
        <w:t>天内，将有关部门出具的证明文件送达另一方。</w:t>
      </w:r>
    </w:p>
    <w:p w14:paraId="62BD9EC0">
      <w:pPr>
        <w:ind w:firstLine="420" w:firstLineChars="200"/>
        <w:rPr>
          <w:rFonts w:hint="eastAsia" w:eastAsia="宋体"/>
          <w:color w:val="auto"/>
          <w:lang w:eastAsia="zh-CN"/>
        </w:rPr>
      </w:pPr>
      <w:r>
        <w:rPr>
          <w:rFonts w:hint="eastAsia"/>
          <w:color w:val="auto"/>
        </w:rPr>
        <w:t>2.3不可抗力使合同的某些内容有变更必要的，双方应通过协商在</w:t>
      </w:r>
      <w:r>
        <w:rPr>
          <w:rFonts w:hint="eastAsia"/>
          <w:color w:val="auto"/>
          <w:u w:val="single"/>
        </w:rPr>
        <w:t>15</w:t>
      </w:r>
      <w:r>
        <w:rPr>
          <w:rFonts w:hint="eastAsia"/>
          <w:color w:val="auto"/>
        </w:rPr>
        <w:t>日内达成进一步履行合同的协议，因不可抗力致使合同不能履行的，合同终止。</w:t>
      </w:r>
    </w:p>
    <w:p w14:paraId="7848DBA3">
      <w:pPr>
        <w:ind w:firstLine="210" w:firstLineChars="100"/>
        <w:rPr>
          <w:rFonts w:hint="eastAsia" w:eastAsia="宋体"/>
          <w:color w:val="auto"/>
          <w:lang w:eastAsia="zh-CN"/>
        </w:rPr>
      </w:pPr>
      <w:r>
        <w:rPr>
          <w:rFonts w:hint="eastAsia"/>
          <w:color w:val="auto"/>
        </w:rPr>
        <w:t>3.税费</w:t>
      </w:r>
    </w:p>
    <w:p w14:paraId="7FB168EA">
      <w:pPr>
        <w:ind w:firstLine="420" w:firstLineChars="200"/>
        <w:rPr>
          <w:rFonts w:hint="eastAsia" w:eastAsia="宋体"/>
          <w:color w:val="auto"/>
          <w:lang w:eastAsia="zh-CN"/>
        </w:rPr>
      </w:pPr>
      <w:r>
        <w:rPr>
          <w:rFonts w:hint="eastAsia"/>
          <w:color w:val="auto"/>
        </w:rPr>
        <w:t>除本合同另有约定外，与本合同有关的一切税费均适用中华人民共和国法律的相关规定。</w:t>
      </w:r>
    </w:p>
    <w:p w14:paraId="360A4752">
      <w:pPr>
        <w:ind w:firstLine="210" w:firstLineChars="100"/>
        <w:rPr>
          <w:rFonts w:hint="eastAsia" w:eastAsia="宋体"/>
          <w:color w:val="auto"/>
          <w:lang w:eastAsia="zh-CN"/>
        </w:rPr>
      </w:pPr>
      <w:r>
        <w:rPr>
          <w:rFonts w:hint="eastAsia"/>
          <w:color w:val="auto"/>
        </w:rPr>
        <w:t>4.合同争议的解决</w:t>
      </w:r>
    </w:p>
    <w:p w14:paraId="2FDA769E">
      <w:pPr>
        <w:ind w:firstLine="420" w:firstLineChars="200"/>
        <w:rPr>
          <w:rFonts w:hint="eastAsia" w:eastAsia="宋体"/>
          <w:color w:val="auto"/>
          <w:lang w:eastAsia="zh-CN"/>
        </w:rPr>
      </w:pPr>
      <w:r>
        <w:rPr>
          <w:rFonts w:hint="eastAsia"/>
          <w:color w:val="auto"/>
        </w:rPr>
        <w:t>因合同履行中发生的争议，可通过合同当事人双方友好协商解决。如自协商开始之</w:t>
      </w:r>
      <w:r>
        <w:rPr>
          <w:rFonts w:hint="eastAsia"/>
          <w:color w:val="auto"/>
          <w:lang w:val="en-US" w:eastAsia="zh-CN"/>
        </w:rPr>
        <w:t>日</w:t>
      </w:r>
      <w:r>
        <w:rPr>
          <w:rFonts w:hint="eastAsia"/>
          <w:color w:val="auto"/>
        </w:rPr>
        <w:t>起15日内得不到解决，双方应将争议提交相关部门调解。调解不成的，可向</w:t>
      </w:r>
      <w:r>
        <w:rPr>
          <w:rFonts w:hint="eastAsia"/>
          <w:color w:val="auto"/>
          <w:lang w:eastAsia="zh-CN"/>
        </w:rPr>
        <w:t>甲方所在地</w:t>
      </w:r>
      <w:r>
        <w:rPr>
          <w:rFonts w:hint="eastAsia"/>
          <w:color w:val="auto"/>
        </w:rPr>
        <w:t>人民法院提起诉讼。因一方违约，守约方为追究违约方的违约责任而产生的律师费、诉讼费、担保费、鉴定费、保全费、公证费、评估费等相关费用由违约方承担。</w:t>
      </w:r>
    </w:p>
    <w:p w14:paraId="32634834">
      <w:pPr>
        <w:ind w:firstLine="210" w:firstLineChars="100"/>
        <w:rPr>
          <w:rFonts w:hint="eastAsia" w:eastAsia="宋体"/>
          <w:color w:val="auto"/>
          <w:lang w:eastAsia="zh-CN"/>
        </w:rPr>
      </w:pPr>
      <w:r>
        <w:rPr>
          <w:rFonts w:hint="eastAsia"/>
          <w:color w:val="auto"/>
          <w:lang w:val="en-US" w:eastAsia="zh-CN"/>
        </w:rPr>
        <w:t>5</w:t>
      </w:r>
      <w:r>
        <w:rPr>
          <w:rFonts w:hint="eastAsia"/>
          <w:color w:val="auto"/>
        </w:rPr>
        <w:t>.破产终止合同</w:t>
      </w:r>
    </w:p>
    <w:p w14:paraId="2CFCEFBF">
      <w:pPr>
        <w:ind w:firstLine="420" w:firstLineChars="200"/>
        <w:rPr>
          <w:rFonts w:hint="eastAsia" w:eastAsia="宋体"/>
          <w:color w:val="auto"/>
          <w:lang w:eastAsia="zh-CN"/>
        </w:rPr>
      </w:pPr>
      <w:r>
        <w:rPr>
          <w:rFonts w:hint="eastAsia"/>
          <w:color w:val="auto"/>
        </w:rPr>
        <w:t>如果乙方破产或无清偿能力时，甲方可按相关规定在任何时候以书面通知乙方，提出终止合同而不给乙方补偿。该合同的终止将不损害或不影响甲方已经采取或将要采取任何行动或补救措施的权利。</w:t>
      </w:r>
    </w:p>
    <w:p w14:paraId="65C05279">
      <w:pPr>
        <w:ind w:firstLine="210" w:firstLineChars="100"/>
        <w:rPr>
          <w:rFonts w:hint="eastAsia" w:eastAsia="宋体"/>
          <w:color w:val="auto"/>
          <w:lang w:eastAsia="zh-CN"/>
        </w:rPr>
      </w:pPr>
      <w:r>
        <w:rPr>
          <w:rFonts w:hint="eastAsia"/>
          <w:color w:val="auto"/>
          <w:lang w:val="en-US" w:eastAsia="zh-CN"/>
        </w:rPr>
        <w:t>6</w:t>
      </w:r>
      <w:r>
        <w:rPr>
          <w:rFonts w:hint="eastAsia"/>
          <w:color w:val="auto"/>
        </w:rPr>
        <w:t>.</w:t>
      </w:r>
      <w:r>
        <w:rPr>
          <w:rFonts w:hint="eastAsia"/>
          <w:color w:val="auto"/>
          <w:lang w:eastAsia="zh-CN"/>
        </w:rPr>
        <w:t>转包</w:t>
      </w:r>
      <w:r>
        <w:rPr>
          <w:rFonts w:hint="eastAsia"/>
          <w:color w:val="auto"/>
        </w:rPr>
        <w:t>和分包</w:t>
      </w:r>
    </w:p>
    <w:p w14:paraId="39F38F42">
      <w:pPr>
        <w:ind w:firstLine="420" w:firstLineChars="200"/>
        <w:rPr>
          <w:rFonts w:hint="eastAsia" w:eastAsia="宋体"/>
          <w:color w:val="auto"/>
          <w:lang w:eastAsia="zh-CN"/>
        </w:rPr>
      </w:pPr>
      <w:r>
        <w:rPr>
          <w:rFonts w:hint="eastAsia"/>
          <w:color w:val="auto"/>
          <w:lang w:val="en-US" w:eastAsia="zh-CN"/>
        </w:rPr>
        <w:t>6</w:t>
      </w:r>
      <w:r>
        <w:rPr>
          <w:rFonts w:hint="eastAsia"/>
          <w:color w:val="auto"/>
        </w:rPr>
        <w:t>.1本采购合同不</w:t>
      </w:r>
      <w:r>
        <w:rPr>
          <w:rFonts w:hint="eastAsia"/>
          <w:color w:val="auto"/>
          <w:lang w:val="en-US" w:eastAsia="zh-CN"/>
        </w:rPr>
        <w:t>得</w:t>
      </w:r>
      <w:r>
        <w:rPr>
          <w:rFonts w:hint="eastAsia"/>
          <w:color w:val="auto"/>
        </w:rPr>
        <w:t>转包。</w:t>
      </w:r>
    </w:p>
    <w:p w14:paraId="213B6AF3">
      <w:pPr>
        <w:ind w:firstLine="420" w:firstLineChars="200"/>
        <w:rPr>
          <w:rFonts w:hint="eastAsia" w:eastAsia="宋体"/>
          <w:color w:val="auto"/>
          <w:lang w:eastAsia="zh-CN"/>
        </w:rPr>
      </w:pPr>
      <w:r>
        <w:rPr>
          <w:rFonts w:hint="eastAsia"/>
          <w:color w:val="auto"/>
          <w:lang w:val="en-US" w:eastAsia="zh-CN"/>
        </w:rPr>
        <w:t>6</w:t>
      </w:r>
      <w:r>
        <w:rPr>
          <w:rFonts w:hint="eastAsia"/>
          <w:color w:val="auto"/>
        </w:rPr>
        <w:t>.2经甲方事先书面同意乙方可以将合同项下非主体、非关键性工作分包给他人完成。接受分包的人应当具备相应的资格条件，并不得再次分包。分包后不能解除乙方履行本合同的责任和义务，接受分包的人与乙方共同对甲方连带承担合同的责任和义务。</w:t>
      </w:r>
    </w:p>
    <w:p w14:paraId="57100941">
      <w:pPr>
        <w:ind w:firstLine="210" w:firstLineChars="100"/>
        <w:rPr>
          <w:rFonts w:hint="eastAsia" w:eastAsia="宋体"/>
          <w:color w:val="auto"/>
          <w:lang w:eastAsia="zh-CN"/>
        </w:rPr>
      </w:pPr>
      <w:r>
        <w:rPr>
          <w:rFonts w:hint="eastAsia"/>
          <w:color w:val="auto"/>
          <w:lang w:val="en-US" w:eastAsia="zh-CN"/>
        </w:rPr>
        <w:t>7</w:t>
      </w:r>
      <w:r>
        <w:rPr>
          <w:rFonts w:hint="eastAsia"/>
          <w:color w:val="auto"/>
        </w:rPr>
        <w:t>.计量单位</w:t>
      </w:r>
    </w:p>
    <w:p w14:paraId="3D4A52B8">
      <w:pPr>
        <w:ind w:firstLine="420" w:firstLineChars="200"/>
        <w:rPr>
          <w:rFonts w:hint="eastAsia" w:eastAsia="宋体"/>
          <w:color w:val="auto"/>
          <w:lang w:eastAsia="zh-CN"/>
        </w:rPr>
      </w:pPr>
      <w:r>
        <w:rPr>
          <w:rFonts w:hint="eastAsia"/>
          <w:color w:val="auto"/>
        </w:rPr>
        <w:t>除技术规范中另有规定外，计量单位均使用国家法定计量单位。</w:t>
      </w:r>
    </w:p>
    <w:p w14:paraId="3A00A026">
      <w:pPr>
        <w:ind w:firstLine="210" w:firstLineChars="100"/>
        <w:rPr>
          <w:rFonts w:hint="eastAsia" w:eastAsia="宋体"/>
          <w:color w:val="auto"/>
          <w:lang w:eastAsia="zh-CN"/>
        </w:rPr>
      </w:pPr>
      <w:r>
        <w:rPr>
          <w:rFonts w:hint="eastAsia"/>
          <w:color w:val="auto"/>
          <w:lang w:val="en-US" w:eastAsia="zh-CN"/>
        </w:rPr>
        <w:t>8</w:t>
      </w:r>
      <w:r>
        <w:rPr>
          <w:rFonts w:hint="eastAsia"/>
          <w:color w:val="auto"/>
        </w:rPr>
        <w:t>.合同生效和其他</w:t>
      </w:r>
    </w:p>
    <w:p w14:paraId="7FAAE8F3">
      <w:pPr>
        <w:ind w:firstLine="420" w:firstLineChars="200"/>
        <w:rPr>
          <w:rFonts w:hint="eastAsia"/>
          <w:color w:val="auto"/>
        </w:rPr>
      </w:pPr>
      <w:r>
        <w:rPr>
          <w:rFonts w:hint="eastAsia"/>
          <w:color w:val="auto"/>
          <w:lang w:val="en-US" w:eastAsia="zh-CN"/>
        </w:rPr>
        <w:t>8</w:t>
      </w:r>
      <w:r>
        <w:rPr>
          <w:rFonts w:hint="eastAsia"/>
          <w:color w:val="auto"/>
        </w:rPr>
        <w:t>.1合同将在双方签署（签名或盖私章）并盖章（盖公章或盖合同专用章）后开始生效。</w:t>
      </w:r>
    </w:p>
    <w:p w14:paraId="48F20216">
      <w:pPr>
        <w:ind w:firstLine="420" w:firstLineChars="200"/>
        <w:rPr>
          <w:rFonts w:hint="eastAsia"/>
          <w:color w:val="auto"/>
          <w:lang w:val="en-US" w:eastAsia="zh-CN"/>
        </w:rPr>
      </w:pPr>
      <w:r>
        <w:rPr>
          <w:rFonts w:hint="eastAsia"/>
          <w:color w:val="auto"/>
          <w:lang w:val="en-US" w:eastAsia="zh-CN"/>
        </w:rPr>
        <w:t>8</w:t>
      </w:r>
      <w:r>
        <w:rPr>
          <w:rFonts w:hint="eastAsia"/>
          <w:color w:val="auto"/>
        </w:rPr>
        <w:t>.</w:t>
      </w:r>
      <w:r>
        <w:rPr>
          <w:rFonts w:hint="eastAsia"/>
          <w:color w:val="auto"/>
          <w:lang w:val="en-US" w:eastAsia="zh-CN"/>
        </w:rPr>
        <w:t>2</w:t>
      </w:r>
      <w:r>
        <w:rPr>
          <w:rFonts w:hint="eastAsia"/>
          <w:color w:val="auto"/>
        </w:rPr>
        <w:t>所签订的合同不得对招标文件确定的事项和</w:t>
      </w:r>
      <w:r>
        <w:rPr>
          <w:rFonts w:hint="eastAsia"/>
          <w:color w:val="auto"/>
          <w:lang w:val="en-US" w:eastAsia="zh-CN"/>
        </w:rPr>
        <w:t>乙方</w:t>
      </w:r>
      <w:r>
        <w:rPr>
          <w:rFonts w:hint="eastAsia"/>
          <w:color w:val="auto"/>
        </w:rPr>
        <w:t>投标文件作实质性修改。</w:t>
      </w:r>
    </w:p>
    <w:p w14:paraId="374CEC63">
      <w:pPr>
        <w:ind w:firstLine="420" w:firstLineChars="200"/>
        <w:rPr>
          <w:color w:val="auto"/>
        </w:rPr>
      </w:pPr>
      <w:r>
        <w:rPr>
          <w:rFonts w:hint="eastAsia"/>
          <w:color w:val="auto"/>
          <w:lang w:val="en-US" w:eastAsia="zh-CN"/>
        </w:rPr>
        <w:t>8</w:t>
      </w:r>
      <w:r>
        <w:rPr>
          <w:rFonts w:hint="eastAsia"/>
          <w:color w:val="auto"/>
        </w:rPr>
        <w:t>.</w:t>
      </w:r>
      <w:r>
        <w:rPr>
          <w:rFonts w:hint="eastAsia"/>
          <w:color w:val="auto"/>
          <w:lang w:val="en-US" w:eastAsia="zh-CN"/>
        </w:rPr>
        <w:t>3</w:t>
      </w:r>
      <w:r>
        <w:rPr>
          <w:rFonts w:hint="eastAsia"/>
          <w:color w:val="auto"/>
        </w:rPr>
        <w:t>本合同一式</w:t>
      </w:r>
      <w:r>
        <w:rPr>
          <w:rFonts w:hint="eastAsia"/>
          <w:color w:val="auto"/>
          <w:u w:val="single"/>
          <w:lang w:val="en-US" w:eastAsia="zh-CN"/>
        </w:rPr>
        <w:t>肆</w:t>
      </w:r>
      <w:r>
        <w:rPr>
          <w:rFonts w:hint="eastAsia"/>
          <w:color w:val="auto"/>
        </w:rPr>
        <w:t>份，甲方执</w:t>
      </w:r>
      <w:r>
        <w:rPr>
          <w:rFonts w:hint="eastAsia"/>
          <w:color w:val="auto"/>
          <w:u w:val="single"/>
          <w:lang w:val="en-US" w:eastAsia="zh-CN"/>
        </w:rPr>
        <w:t>叁</w:t>
      </w:r>
      <w:r>
        <w:rPr>
          <w:rFonts w:hint="eastAsia"/>
          <w:color w:val="auto"/>
        </w:rPr>
        <w:t>份，乙方执</w:t>
      </w:r>
      <w:r>
        <w:rPr>
          <w:rFonts w:hint="eastAsia"/>
          <w:color w:val="auto"/>
          <w:u w:val="single"/>
          <w:lang w:val="en-US" w:eastAsia="zh-CN"/>
        </w:rPr>
        <w:t>壹</w:t>
      </w:r>
      <w:r>
        <w:rPr>
          <w:rFonts w:hint="eastAsia"/>
          <w:color w:val="auto"/>
        </w:rPr>
        <w:t>份，具同等法律效力。本合同合计</w:t>
      </w:r>
      <w:r>
        <w:rPr>
          <w:rFonts w:hint="eastAsia"/>
          <w:color w:val="auto"/>
          <w:u w:val="single"/>
        </w:rPr>
        <w:t xml:space="preserve">   </w:t>
      </w:r>
      <w:r>
        <w:rPr>
          <w:rFonts w:hint="eastAsia"/>
          <w:color w:val="auto"/>
        </w:rPr>
        <w:t>页。</w:t>
      </w:r>
    </w:p>
    <w:p w14:paraId="38E8E6D1">
      <w:pPr>
        <w:ind w:firstLine="420" w:firstLineChars="200"/>
        <w:rPr>
          <w:color w:val="auto"/>
        </w:rPr>
      </w:pPr>
      <w:r>
        <w:rPr>
          <w:rFonts w:hint="eastAsia"/>
          <w:color w:val="auto"/>
          <w:lang w:val="en-US" w:eastAsia="zh-CN"/>
        </w:rPr>
        <w:t>8</w:t>
      </w:r>
      <w:r>
        <w:rPr>
          <w:rFonts w:hint="eastAsia"/>
          <w:color w:val="auto"/>
        </w:rPr>
        <w:t>.</w:t>
      </w:r>
      <w:r>
        <w:rPr>
          <w:rFonts w:hint="eastAsia"/>
          <w:color w:val="auto"/>
          <w:lang w:val="en-US" w:eastAsia="zh-CN"/>
        </w:rPr>
        <w:t>4</w:t>
      </w:r>
      <w:r>
        <w:rPr>
          <w:rFonts w:hint="eastAsia"/>
          <w:color w:val="auto"/>
        </w:rPr>
        <w:t>其它未尽事宜，由甲乙双方友好协商解决，并参照《中华人民共和国民法典》有关条款执行。</w:t>
      </w:r>
    </w:p>
    <w:p w14:paraId="249CAAFA">
      <w:pPr>
        <w:ind w:firstLine="420" w:firstLineChars="200"/>
        <w:rPr>
          <w:color w:val="auto"/>
        </w:rPr>
      </w:pPr>
      <w:r>
        <w:rPr>
          <w:rFonts w:hint="eastAsia"/>
          <w:color w:val="auto"/>
          <w:lang w:val="en-US" w:eastAsia="zh-CN"/>
        </w:rPr>
        <w:t>8</w:t>
      </w:r>
      <w:r>
        <w:rPr>
          <w:rFonts w:hint="eastAsia"/>
          <w:color w:val="auto"/>
        </w:rPr>
        <w:t>.</w:t>
      </w:r>
      <w:r>
        <w:rPr>
          <w:rFonts w:hint="eastAsia"/>
          <w:color w:val="auto"/>
          <w:lang w:val="en-US" w:eastAsia="zh-CN"/>
        </w:rPr>
        <w:t>5</w:t>
      </w:r>
      <w:r>
        <w:rPr>
          <w:rFonts w:hint="eastAsia"/>
          <w:color w:val="auto"/>
        </w:rPr>
        <w:t>双方确认，与本合同履行有关而发出的所有书面通知或其他通讯，或者因争议解决由司法裁判机关发出的法律文书，均以本合同确定的通讯地址为准。送达有关文书时，如采用EMS邮寄送达的方式，发生收件人拒绝签收或其他无法送达情形的，则从发件人寄出文书之日起</w:t>
      </w:r>
      <w:r>
        <w:rPr>
          <w:rFonts w:hint="eastAsia"/>
          <w:color w:val="auto"/>
          <w:u w:val="single"/>
        </w:rPr>
        <w:t>3</w:t>
      </w:r>
      <w:r>
        <w:rPr>
          <w:rFonts w:hint="eastAsia"/>
          <w:color w:val="auto"/>
        </w:rPr>
        <w:t>日即视为已经送达。任何一方的通讯地址发生变化的，应书面通知对方，否则，应自行承担由此造成的一切法律后果。</w:t>
      </w:r>
    </w:p>
    <w:p w14:paraId="25E5923B">
      <w:pPr>
        <w:bidi w:val="0"/>
        <w:rPr>
          <w:b/>
          <w:bCs/>
          <w:color w:val="auto"/>
          <w:sz w:val="21"/>
          <w:szCs w:val="21"/>
        </w:rPr>
      </w:pPr>
      <w:r>
        <w:rPr>
          <w:rFonts w:hint="eastAsia"/>
          <w:b/>
          <w:bCs/>
          <w:color w:val="auto"/>
          <w:sz w:val="21"/>
          <w:szCs w:val="21"/>
        </w:rPr>
        <w:t>十</w:t>
      </w:r>
      <w:r>
        <w:rPr>
          <w:rFonts w:hint="eastAsia"/>
          <w:b/>
          <w:bCs/>
          <w:color w:val="auto"/>
          <w:sz w:val="21"/>
          <w:szCs w:val="21"/>
          <w:lang w:val="en-US" w:eastAsia="zh-CN"/>
        </w:rPr>
        <w:t>二</w:t>
      </w:r>
      <w:r>
        <w:rPr>
          <w:rFonts w:hint="eastAsia"/>
          <w:b/>
          <w:bCs/>
          <w:color w:val="auto"/>
          <w:sz w:val="21"/>
          <w:szCs w:val="21"/>
        </w:rPr>
        <w:t>、合同附件</w:t>
      </w:r>
    </w:p>
    <w:p w14:paraId="637F30F9">
      <w:pPr>
        <w:autoSpaceDE w:val="0"/>
        <w:autoSpaceDN w:val="0"/>
        <w:ind w:firstLine="422" w:firstLineChars="200"/>
        <w:rPr>
          <w:b/>
          <w:bCs/>
          <w:color w:val="auto"/>
          <w:sz w:val="21"/>
          <w:szCs w:val="21"/>
        </w:rPr>
      </w:pPr>
      <w:r>
        <w:rPr>
          <w:rFonts w:hint="eastAsia"/>
          <w:b/>
          <w:bCs/>
          <w:color w:val="auto"/>
          <w:sz w:val="21"/>
          <w:szCs w:val="21"/>
        </w:rPr>
        <w:t>附件1：</w:t>
      </w:r>
      <w:r>
        <w:rPr>
          <w:rFonts w:hint="eastAsia"/>
          <w:color w:val="auto"/>
          <w:sz w:val="21"/>
          <w:szCs w:val="21"/>
        </w:rPr>
        <w:t>技术要求（注：签订合同时，按招标文件采购需求后附）</w:t>
      </w:r>
    </w:p>
    <w:tbl>
      <w:tblPr>
        <w:tblStyle w:val="14"/>
        <w:tblpPr w:leftFromText="180" w:rightFromText="180" w:vertAnchor="text" w:horzAnchor="page" w:tblpX="1537" w:tblpY="1017"/>
        <w:tblOverlap w:val="never"/>
        <w:tblW w:w="9322" w:type="dxa"/>
        <w:tblInd w:w="0" w:type="dxa"/>
        <w:tblLayout w:type="fixed"/>
        <w:tblCellMar>
          <w:top w:w="0" w:type="dxa"/>
          <w:left w:w="108" w:type="dxa"/>
          <w:bottom w:w="0" w:type="dxa"/>
          <w:right w:w="108" w:type="dxa"/>
        </w:tblCellMar>
      </w:tblPr>
      <w:tblGrid>
        <w:gridCol w:w="4700"/>
        <w:gridCol w:w="4622"/>
      </w:tblGrid>
      <w:tr w14:paraId="14D39927">
        <w:trPr>
          <w:trHeight w:val="588" w:hRule="atLeast"/>
        </w:trPr>
        <w:tc>
          <w:tcPr>
            <w:tcW w:w="4700" w:type="dxa"/>
            <w:noWrap w:val="0"/>
            <w:vAlign w:val="center"/>
          </w:tcPr>
          <w:p w14:paraId="40C133A7">
            <w:pPr>
              <w:rPr>
                <w:color w:val="auto"/>
                <w:sz w:val="21"/>
                <w:szCs w:val="21"/>
                <w:highlight w:val="none"/>
              </w:rPr>
            </w:pPr>
            <w:r>
              <w:rPr>
                <w:rFonts w:hint="eastAsia"/>
                <w:color w:val="auto"/>
                <w:sz w:val="21"/>
                <w:szCs w:val="21"/>
                <w:highlight w:val="none"/>
              </w:rPr>
              <w:t>甲方（盖章）</w:t>
            </w:r>
          </w:p>
        </w:tc>
        <w:tc>
          <w:tcPr>
            <w:tcW w:w="4622" w:type="dxa"/>
            <w:noWrap w:val="0"/>
            <w:vAlign w:val="center"/>
          </w:tcPr>
          <w:p w14:paraId="6F767B74">
            <w:pPr>
              <w:rPr>
                <w:color w:val="auto"/>
                <w:sz w:val="21"/>
                <w:szCs w:val="21"/>
                <w:highlight w:val="none"/>
              </w:rPr>
            </w:pPr>
            <w:r>
              <w:rPr>
                <w:rFonts w:hint="eastAsia"/>
                <w:color w:val="auto"/>
                <w:sz w:val="21"/>
                <w:szCs w:val="21"/>
                <w:highlight w:val="none"/>
              </w:rPr>
              <w:t>乙方（盖章）</w:t>
            </w:r>
          </w:p>
        </w:tc>
      </w:tr>
      <w:tr w14:paraId="5476BA8D">
        <w:tblPrEx>
          <w:tblCellMar>
            <w:top w:w="0" w:type="dxa"/>
            <w:left w:w="108" w:type="dxa"/>
            <w:bottom w:w="0" w:type="dxa"/>
            <w:right w:w="108" w:type="dxa"/>
          </w:tblCellMar>
        </w:tblPrEx>
        <w:trPr>
          <w:trHeight w:val="333" w:hRule="atLeast"/>
        </w:trPr>
        <w:tc>
          <w:tcPr>
            <w:tcW w:w="4700" w:type="dxa"/>
            <w:noWrap w:val="0"/>
            <w:vAlign w:val="top"/>
          </w:tcPr>
          <w:p w14:paraId="4528B0D8">
            <w:pPr>
              <w:jc w:val="both"/>
              <w:rPr>
                <w:color w:val="auto"/>
                <w:sz w:val="21"/>
                <w:szCs w:val="21"/>
                <w:highlight w:val="none"/>
              </w:rPr>
            </w:pPr>
            <w:r>
              <w:rPr>
                <w:rFonts w:hint="eastAsia"/>
                <w:color w:val="auto"/>
                <w:sz w:val="21"/>
                <w:szCs w:val="21"/>
                <w:highlight w:val="none"/>
              </w:rPr>
              <w:t>法定代表人</w:t>
            </w:r>
            <w:r>
              <w:rPr>
                <w:rFonts w:hint="eastAsia"/>
                <w:color w:val="auto"/>
                <w:sz w:val="21"/>
                <w:szCs w:val="21"/>
                <w:highlight w:val="none"/>
                <w:lang w:val="en-US" w:eastAsia="zh-CN"/>
              </w:rPr>
              <w:t>或</w:t>
            </w:r>
            <w:r>
              <w:rPr>
                <w:rFonts w:hint="eastAsia"/>
                <w:color w:val="auto"/>
                <w:sz w:val="21"/>
                <w:szCs w:val="21"/>
                <w:highlight w:val="none"/>
              </w:rPr>
              <w:t>其委托代理人（签署）：</w:t>
            </w:r>
          </w:p>
        </w:tc>
        <w:tc>
          <w:tcPr>
            <w:tcW w:w="4622" w:type="dxa"/>
            <w:noWrap w:val="0"/>
            <w:vAlign w:val="top"/>
          </w:tcPr>
          <w:p w14:paraId="1E55A07A">
            <w:pPr>
              <w:jc w:val="both"/>
              <w:rPr>
                <w:color w:val="auto"/>
                <w:sz w:val="21"/>
                <w:szCs w:val="21"/>
                <w:highlight w:val="none"/>
              </w:rPr>
            </w:pPr>
            <w:r>
              <w:rPr>
                <w:rFonts w:hint="eastAsia"/>
                <w:color w:val="auto"/>
                <w:sz w:val="21"/>
                <w:szCs w:val="21"/>
                <w:highlight w:val="none"/>
              </w:rPr>
              <w:t>法定代表人</w:t>
            </w:r>
            <w:r>
              <w:rPr>
                <w:rFonts w:hint="eastAsia"/>
                <w:color w:val="auto"/>
                <w:sz w:val="21"/>
                <w:szCs w:val="21"/>
                <w:highlight w:val="none"/>
                <w:lang w:val="en-US" w:eastAsia="zh-CN"/>
              </w:rPr>
              <w:t>或</w:t>
            </w:r>
            <w:r>
              <w:rPr>
                <w:rFonts w:hint="eastAsia"/>
                <w:color w:val="auto"/>
                <w:sz w:val="21"/>
                <w:szCs w:val="21"/>
                <w:highlight w:val="none"/>
              </w:rPr>
              <w:t>其委托代理人（签署）：</w:t>
            </w:r>
          </w:p>
        </w:tc>
      </w:tr>
      <w:tr w14:paraId="6BED1794">
        <w:tblPrEx>
          <w:tblCellMar>
            <w:top w:w="0" w:type="dxa"/>
            <w:left w:w="108" w:type="dxa"/>
            <w:bottom w:w="0" w:type="dxa"/>
            <w:right w:w="108" w:type="dxa"/>
          </w:tblCellMar>
        </w:tblPrEx>
        <w:trPr>
          <w:trHeight w:val="523" w:hRule="atLeast"/>
        </w:trPr>
        <w:tc>
          <w:tcPr>
            <w:tcW w:w="4700" w:type="dxa"/>
            <w:noWrap w:val="0"/>
            <w:vAlign w:val="center"/>
          </w:tcPr>
          <w:p w14:paraId="59874A30">
            <w:pPr>
              <w:rPr>
                <w:rFonts w:hint="eastAsia" w:eastAsia="宋体"/>
                <w:color w:val="auto"/>
                <w:sz w:val="21"/>
                <w:szCs w:val="21"/>
                <w:highlight w:val="none"/>
                <w:lang w:val="en-US" w:eastAsia="zh-CN"/>
              </w:rPr>
            </w:pPr>
            <w:r>
              <w:rPr>
                <w:rFonts w:hint="eastAsia"/>
                <w:color w:val="auto"/>
                <w:sz w:val="21"/>
                <w:szCs w:val="21"/>
                <w:highlight w:val="none"/>
                <w:lang w:val="en-US" w:eastAsia="zh-CN"/>
              </w:rPr>
              <w:t>住所：</w:t>
            </w:r>
          </w:p>
        </w:tc>
        <w:tc>
          <w:tcPr>
            <w:tcW w:w="4622" w:type="dxa"/>
            <w:noWrap w:val="0"/>
            <w:vAlign w:val="center"/>
          </w:tcPr>
          <w:p w14:paraId="61FB3D3A">
            <w:pPr>
              <w:rPr>
                <w:rFonts w:hint="eastAsia"/>
                <w:color w:val="auto"/>
                <w:sz w:val="21"/>
                <w:szCs w:val="21"/>
                <w:highlight w:val="none"/>
              </w:rPr>
            </w:pPr>
            <w:r>
              <w:rPr>
                <w:rFonts w:hint="eastAsia"/>
                <w:color w:val="auto"/>
                <w:sz w:val="21"/>
                <w:szCs w:val="21"/>
                <w:highlight w:val="none"/>
                <w:lang w:val="en-US" w:eastAsia="zh-CN"/>
              </w:rPr>
              <w:t>住所：</w:t>
            </w:r>
          </w:p>
        </w:tc>
      </w:tr>
      <w:tr w14:paraId="428C6ECC">
        <w:tblPrEx>
          <w:tblCellMar>
            <w:top w:w="0" w:type="dxa"/>
            <w:left w:w="108" w:type="dxa"/>
            <w:bottom w:w="0" w:type="dxa"/>
            <w:right w:w="108" w:type="dxa"/>
          </w:tblCellMar>
        </w:tblPrEx>
        <w:trPr>
          <w:trHeight w:val="523" w:hRule="atLeast"/>
        </w:trPr>
        <w:tc>
          <w:tcPr>
            <w:tcW w:w="4700" w:type="dxa"/>
            <w:noWrap w:val="0"/>
            <w:vAlign w:val="center"/>
          </w:tcPr>
          <w:p w14:paraId="54E8BBE4">
            <w:pPr>
              <w:rPr>
                <w:rFonts w:hint="default"/>
                <w:color w:val="auto"/>
                <w:sz w:val="21"/>
                <w:szCs w:val="21"/>
                <w:highlight w:val="none"/>
                <w:lang w:val="en-US" w:eastAsia="zh-CN"/>
              </w:rPr>
            </w:pPr>
            <w:r>
              <w:rPr>
                <w:rFonts w:hint="eastAsia"/>
                <w:color w:val="auto"/>
                <w:sz w:val="21"/>
                <w:szCs w:val="21"/>
                <w:highlight w:val="none"/>
                <w:lang w:val="en-US" w:eastAsia="zh-CN"/>
              </w:rPr>
              <w:t>联系方式：</w:t>
            </w:r>
          </w:p>
        </w:tc>
        <w:tc>
          <w:tcPr>
            <w:tcW w:w="4622" w:type="dxa"/>
            <w:noWrap w:val="0"/>
            <w:vAlign w:val="center"/>
          </w:tcPr>
          <w:p w14:paraId="2F1CA3C3">
            <w:pPr>
              <w:rPr>
                <w:rFonts w:hint="eastAsia"/>
                <w:color w:val="auto"/>
                <w:sz w:val="21"/>
                <w:szCs w:val="21"/>
                <w:highlight w:val="none"/>
                <w:lang w:val="en-US" w:eastAsia="zh-CN"/>
              </w:rPr>
            </w:pPr>
            <w:r>
              <w:rPr>
                <w:rFonts w:hint="eastAsia"/>
                <w:color w:val="auto"/>
                <w:sz w:val="21"/>
                <w:szCs w:val="21"/>
                <w:highlight w:val="none"/>
                <w:lang w:val="en-US" w:eastAsia="zh-CN"/>
              </w:rPr>
              <w:t>联系方式：</w:t>
            </w:r>
          </w:p>
        </w:tc>
      </w:tr>
      <w:tr w14:paraId="75190F7F">
        <w:tblPrEx>
          <w:tblCellMar>
            <w:top w:w="0" w:type="dxa"/>
            <w:left w:w="108" w:type="dxa"/>
            <w:bottom w:w="0" w:type="dxa"/>
            <w:right w:w="108" w:type="dxa"/>
          </w:tblCellMar>
        </w:tblPrEx>
        <w:trPr>
          <w:trHeight w:val="90" w:hRule="atLeast"/>
        </w:trPr>
        <w:tc>
          <w:tcPr>
            <w:tcW w:w="4700" w:type="dxa"/>
            <w:noWrap w:val="0"/>
            <w:vAlign w:val="center"/>
          </w:tcPr>
          <w:p w14:paraId="7F9BFC4F">
            <w:pPr>
              <w:rPr>
                <w:rFonts w:hint="eastAsia"/>
                <w:color w:val="auto"/>
                <w:sz w:val="21"/>
                <w:szCs w:val="21"/>
                <w:highlight w:val="none"/>
                <w:lang w:val="en-US" w:eastAsia="zh-CN"/>
              </w:rPr>
            </w:pPr>
          </w:p>
        </w:tc>
        <w:tc>
          <w:tcPr>
            <w:tcW w:w="4622" w:type="dxa"/>
            <w:noWrap w:val="0"/>
            <w:vAlign w:val="center"/>
          </w:tcPr>
          <w:p w14:paraId="37BA6650">
            <w:pPr>
              <w:rPr>
                <w:rFonts w:hint="default"/>
                <w:color w:val="auto"/>
                <w:sz w:val="21"/>
                <w:szCs w:val="21"/>
                <w:highlight w:val="none"/>
                <w:lang w:val="en-US" w:eastAsia="zh-CN"/>
              </w:rPr>
            </w:pPr>
            <w:r>
              <w:rPr>
                <w:rFonts w:hint="eastAsia"/>
                <w:color w:val="auto"/>
                <w:sz w:val="21"/>
                <w:szCs w:val="21"/>
                <w:highlight w:val="none"/>
                <w:lang w:val="en-US" w:eastAsia="zh-CN"/>
              </w:rPr>
              <w:t>开户名称：</w:t>
            </w:r>
          </w:p>
        </w:tc>
      </w:tr>
      <w:tr w14:paraId="19AA9821">
        <w:tblPrEx>
          <w:tblCellMar>
            <w:top w:w="0" w:type="dxa"/>
            <w:left w:w="108" w:type="dxa"/>
            <w:bottom w:w="0" w:type="dxa"/>
            <w:right w:w="108" w:type="dxa"/>
          </w:tblCellMar>
        </w:tblPrEx>
        <w:trPr>
          <w:trHeight w:val="433" w:hRule="atLeast"/>
        </w:trPr>
        <w:tc>
          <w:tcPr>
            <w:tcW w:w="4700" w:type="dxa"/>
            <w:noWrap w:val="0"/>
            <w:vAlign w:val="center"/>
          </w:tcPr>
          <w:p w14:paraId="563B2865">
            <w:pPr>
              <w:rPr>
                <w:color w:val="auto"/>
                <w:sz w:val="21"/>
                <w:szCs w:val="21"/>
                <w:highlight w:val="none"/>
              </w:rPr>
            </w:pPr>
          </w:p>
        </w:tc>
        <w:tc>
          <w:tcPr>
            <w:tcW w:w="4622" w:type="dxa"/>
            <w:noWrap w:val="0"/>
            <w:vAlign w:val="center"/>
          </w:tcPr>
          <w:p w14:paraId="06FF8A6E">
            <w:pPr>
              <w:rPr>
                <w:rFonts w:hint="eastAsia" w:eastAsia="宋体"/>
                <w:color w:val="auto"/>
                <w:sz w:val="21"/>
                <w:szCs w:val="21"/>
                <w:highlight w:val="none"/>
                <w:lang w:eastAsia="zh-CN"/>
              </w:rPr>
            </w:pPr>
            <w:r>
              <w:rPr>
                <w:rFonts w:hint="eastAsia"/>
                <w:color w:val="auto"/>
                <w:sz w:val="21"/>
                <w:szCs w:val="21"/>
                <w:highlight w:val="none"/>
              </w:rPr>
              <w:t>开户银行：</w:t>
            </w:r>
          </w:p>
        </w:tc>
      </w:tr>
      <w:tr w14:paraId="3B0B3FF3">
        <w:tblPrEx>
          <w:tblCellMar>
            <w:top w:w="0" w:type="dxa"/>
            <w:left w:w="108" w:type="dxa"/>
            <w:bottom w:w="0" w:type="dxa"/>
            <w:right w:w="108" w:type="dxa"/>
          </w:tblCellMar>
        </w:tblPrEx>
        <w:trPr>
          <w:trHeight w:val="433" w:hRule="atLeast"/>
        </w:trPr>
        <w:tc>
          <w:tcPr>
            <w:tcW w:w="4700" w:type="dxa"/>
            <w:noWrap w:val="0"/>
            <w:vAlign w:val="center"/>
          </w:tcPr>
          <w:p w14:paraId="0DE3CEED">
            <w:pPr>
              <w:rPr>
                <w:color w:val="auto"/>
                <w:sz w:val="21"/>
                <w:szCs w:val="21"/>
                <w:highlight w:val="none"/>
              </w:rPr>
            </w:pPr>
          </w:p>
        </w:tc>
        <w:tc>
          <w:tcPr>
            <w:tcW w:w="4622" w:type="dxa"/>
            <w:noWrap w:val="0"/>
            <w:vAlign w:val="center"/>
          </w:tcPr>
          <w:p w14:paraId="2B3BB662">
            <w:pPr>
              <w:rPr>
                <w:color w:val="auto"/>
                <w:sz w:val="21"/>
                <w:szCs w:val="21"/>
                <w:highlight w:val="none"/>
              </w:rPr>
            </w:pPr>
            <w:r>
              <w:rPr>
                <w:rFonts w:hint="eastAsia"/>
                <w:color w:val="auto"/>
                <w:sz w:val="21"/>
                <w:szCs w:val="21"/>
                <w:highlight w:val="none"/>
              </w:rPr>
              <w:t>银行账号：</w:t>
            </w:r>
          </w:p>
        </w:tc>
      </w:tr>
      <w:tr w14:paraId="2DEC5180">
        <w:tblPrEx>
          <w:tblCellMar>
            <w:top w:w="0" w:type="dxa"/>
            <w:left w:w="108" w:type="dxa"/>
            <w:bottom w:w="0" w:type="dxa"/>
            <w:right w:w="108" w:type="dxa"/>
          </w:tblCellMar>
        </w:tblPrEx>
        <w:trPr>
          <w:trHeight w:val="433" w:hRule="atLeast"/>
        </w:trPr>
        <w:tc>
          <w:tcPr>
            <w:tcW w:w="9322" w:type="dxa"/>
            <w:gridSpan w:val="2"/>
            <w:noWrap w:val="0"/>
            <w:vAlign w:val="center"/>
          </w:tcPr>
          <w:p w14:paraId="208BC6E0">
            <w:pPr>
              <w:rPr>
                <w:color w:val="auto"/>
                <w:sz w:val="21"/>
                <w:szCs w:val="21"/>
                <w:highlight w:val="none"/>
              </w:rPr>
            </w:pPr>
            <w:r>
              <w:rPr>
                <w:rFonts w:hint="eastAsia"/>
                <w:color w:val="auto"/>
                <w:sz w:val="21"/>
                <w:szCs w:val="21"/>
                <w:highlight w:val="none"/>
              </w:rPr>
              <w:t>签订</w:t>
            </w:r>
            <w:r>
              <w:rPr>
                <w:rFonts w:hint="eastAsia"/>
                <w:color w:val="auto"/>
                <w:sz w:val="21"/>
                <w:szCs w:val="21"/>
                <w:highlight w:val="none"/>
                <w:lang w:val="en-US" w:eastAsia="zh-CN"/>
              </w:rPr>
              <w:t>时间</w:t>
            </w:r>
            <w:r>
              <w:rPr>
                <w:rFonts w:hint="eastAsia"/>
                <w:color w:val="auto"/>
                <w:sz w:val="21"/>
                <w:szCs w:val="21"/>
                <w:highlight w:val="none"/>
              </w:rPr>
              <w:t>：</w:t>
            </w:r>
          </w:p>
        </w:tc>
      </w:tr>
      <w:tr w14:paraId="1F37038A">
        <w:tblPrEx>
          <w:tblCellMar>
            <w:top w:w="0" w:type="dxa"/>
            <w:left w:w="108" w:type="dxa"/>
            <w:bottom w:w="0" w:type="dxa"/>
            <w:right w:w="108" w:type="dxa"/>
          </w:tblCellMar>
        </w:tblPrEx>
        <w:trPr>
          <w:trHeight w:val="433" w:hRule="atLeast"/>
        </w:trPr>
        <w:tc>
          <w:tcPr>
            <w:tcW w:w="9322" w:type="dxa"/>
            <w:gridSpan w:val="2"/>
            <w:noWrap w:val="0"/>
            <w:vAlign w:val="center"/>
          </w:tcPr>
          <w:p w14:paraId="1C65822A">
            <w:pPr>
              <w:rPr>
                <w:color w:val="auto"/>
                <w:sz w:val="21"/>
                <w:szCs w:val="21"/>
                <w:highlight w:val="none"/>
              </w:rPr>
            </w:pPr>
            <w:r>
              <w:rPr>
                <w:rFonts w:hint="eastAsia"/>
                <w:color w:val="auto"/>
                <w:sz w:val="21"/>
                <w:szCs w:val="21"/>
                <w:highlight w:val="none"/>
              </w:rPr>
              <w:t>签订地点：</w:t>
            </w:r>
          </w:p>
        </w:tc>
      </w:tr>
    </w:tbl>
    <w:p w14:paraId="501BCFA1">
      <w:pPr>
        <w:rPr>
          <w:rFonts w:hint="eastAsia"/>
          <w:color w:val="auto"/>
        </w:rPr>
      </w:pPr>
    </w:p>
    <w:p w14:paraId="720D6017">
      <w:pPr>
        <w:ind w:firstLine="420" w:firstLineChars="200"/>
        <w:rPr>
          <w:rFonts w:hint="eastAsia" w:eastAsia="宋体"/>
          <w:color w:val="auto"/>
          <w:lang w:eastAsia="zh-CN"/>
        </w:rPr>
      </w:pPr>
      <w:r>
        <w:rPr>
          <w:rFonts w:hint="eastAsia" w:cs="宋体"/>
          <w:color w:val="auto"/>
          <w:sz w:val="21"/>
          <w:szCs w:val="21"/>
        </w:rPr>
        <w:br w:type="page"/>
      </w:r>
    </w:p>
    <w:p w14:paraId="4EA3EC58">
      <w:pPr>
        <w:pStyle w:val="3"/>
        <w:jc w:val="both"/>
        <w:rPr>
          <w:rFonts w:hint="eastAsia"/>
          <w:color w:val="auto"/>
          <w:highlight w:val="none"/>
          <w:lang w:val="en-US" w:eastAsia="zh-CN"/>
        </w:rPr>
      </w:pPr>
      <w:bookmarkStart w:id="21" w:name="_Toc12409"/>
      <w:bookmarkStart w:id="22" w:name="_Toc28864"/>
      <w:bookmarkStart w:id="23" w:name="_Toc10342"/>
      <w:bookmarkStart w:id="24" w:name="_Toc24916"/>
      <w:bookmarkStart w:id="25" w:name="_Toc15237"/>
      <w:bookmarkStart w:id="26" w:name="_Toc29101"/>
      <w:bookmarkStart w:id="27" w:name="_Toc20684"/>
      <w:r>
        <w:rPr>
          <w:rFonts w:hint="eastAsia"/>
          <w:color w:val="auto"/>
          <w:highlight w:val="none"/>
          <w:lang w:val="en-US" w:eastAsia="zh-CN"/>
        </w:rPr>
        <w:t>附件1：</w:t>
      </w:r>
    </w:p>
    <w:p w14:paraId="440B3C8E">
      <w:pPr>
        <w:bidi w:val="0"/>
        <w:jc w:val="center"/>
        <w:rPr>
          <w:rFonts w:hint="eastAsia"/>
          <w:b/>
          <w:bCs/>
          <w:color w:val="auto"/>
          <w:sz w:val="24"/>
          <w:szCs w:val="24"/>
          <w:lang w:val="en-US" w:eastAsia="zh-CN"/>
        </w:rPr>
      </w:pPr>
      <w:r>
        <w:rPr>
          <w:rFonts w:hint="eastAsia"/>
          <w:b/>
          <w:bCs/>
          <w:color w:val="auto"/>
          <w:sz w:val="24"/>
          <w:szCs w:val="24"/>
        </w:rPr>
        <w:t>技术要求</w:t>
      </w:r>
      <w:bookmarkEnd w:id="21"/>
      <w:bookmarkEnd w:id="22"/>
      <w:bookmarkEnd w:id="23"/>
      <w:bookmarkEnd w:id="24"/>
      <w:bookmarkEnd w:id="25"/>
      <w:bookmarkEnd w:id="26"/>
      <w:bookmarkEnd w:id="27"/>
    </w:p>
    <w:p w14:paraId="6256B51A">
      <w:pPr>
        <w:bidi w:val="0"/>
        <w:rPr>
          <w:rFonts w:hint="default"/>
          <w:b/>
          <w:bCs/>
          <w:color w:val="auto"/>
          <w:lang w:val="en-US" w:eastAsia="zh-CN"/>
        </w:rPr>
      </w:pPr>
      <w:bookmarkStart w:id="28" w:name="_Toc8662"/>
      <w:r>
        <w:rPr>
          <w:rFonts w:hint="eastAsia"/>
          <w:b/>
          <w:bCs/>
          <w:color w:val="auto"/>
          <w:lang w:val="en-US" w:eastAsia="zh-CN"/>
        </w:rPr>
        <w:t>（一）项目清单</w:t>
      </w:r>
      <w:r>
        <w:rPr>
          <w:rFonts w:hint="default"/>
          <w:b/>
          <w:bCs/>
          <w:color w:val="auto"/>
          <w:lang w:val="en-US" w:eastAsia="zh-CN"/>
        </w:rPr>
        <w:t>（项目清单仅供参考，最终以</w:t>
      </w:r>
      <w:r>
        <w:rPr>
          <w:rFonts w:hint="eastAsia"/>
          <w:b/>
          <w:bCs/>
          <w:color w:val="auto"/>
          <w:lang w:val="en-US" w:eastAsia="zh-CN"/>
        </w:rPr>
        <w:t>甲方</w:t>
      </w:r>
      <w:r>
        <w:rPr>
          <w:rFonts w:hint="default"/>
          <w:b/>
          <w:bCs/>
          <w:color w:val="auto"/>
          <w:lang w:val="en-US" w:eastAsia="zh-CN"/>
        </w:rPr>
        <w:t>实际需求为准）</w:t>
      </w:r>
      <w:bookmarkEnd w:id="28"/>
    </w:p>
    <w:tbl>
      <w:tblPr>
        <w:tblStyle w:val="14"/>
        <w:tblW w:w="49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75"/>
        <w:gridCol w:w="1740"/>
        <w:gridCol w:w="3002"/>
        <w:gridCol w:w="1481"/>
        <w:gridCol w:w="1390"/>
        <w:gridCol w:w="1644"/>
      </w:tblGrid>
      <w:tr w14:paraId="628E5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4E0EA464">
            <w:pPr>
              <w:bidi w:val="0"/>
              <w:jc w:val="center"/>
              <w:rPr>
                <w:rFonts w:hint="default"/>
                <w:b/>
                <w:bCs/>
                <w:color w:val="auto"/>
                <w:lang w:val="en-US" w:eastAsia="zh-CN"/>
              </w:rPr>
            </w:pPr>
            <w:r>
              <w:rPr>
                <w:rFonts w:hint="default"/>
                <w:b/>
                <w:bCs/>
                <w:color w:val="auto"/>
                <w:lang w:val="en-US" w:eastAsia="zh-CN"/>
              </w:rPr>
              <w:t>序号</w:t>
            </w:r>
          </w:p>
        </w:tc>
        <w:tc>
          <w:tcPr>
            <w:tcW w:w="875" w:type="pct"/>
            <w:shd w:val="clear" w:color="auto" w:fill="auto"/>
            <w:noWrap/>
            <w:vAlign w:val="center"/>
          </w:tcPr>
          <w:p w14:paraId="02CD2809">
            <w:pPr>
              <w:bidi w:val="0"/>
              <w:jc w:val="center"/>
              <w:rPr>
                <w:rFonts w:hint="default"/>
                <w:b/>
                <w:bCs/>
                <w:color w:val="auto"/>
                <w:lang w:val="en-US" w:eastAsia="zh-CN"/>
              </w:rPr>
            </w:pPr>
            <w:r>
              <w:rPr>
                <w:rFonts w:hint="default"/>
                <w:b/>
                <w:bCs/>
                <w:color w:val="auto"/>
                <w:lang w:val="en-US" w:eastAsia="zh-CN"/>
              </w:rPr>
              <w:t>品类</w:t>
            </w:r>
          </w:p>
        </w:tc>
        <w:tc>
          <w:tcPr>
            <w:tcW w:w="1510" w:type="pct"/>
            <w:shd w:val="clear" w:color="auto" w:fill="auto"/>
            <w:noWrap/>
            <w:vAlign w:val="center"/>
          </w:tcPr>
          <w:p w14:paraId="0F7FD9F3">
            <w:pPr>
              <w:bidi w:val="0"/>
              <w:jc w:val="center"/>
              <w:rPr>
                <w:rFonts w:hint="default"/>
                <w:b/>
                <w:bCs/>
                <w:color w:val="auto"/>
                <w:lang w:val="en-US" w:eastAsia="zh-CN"/>
              </w:rPr>
            </w:pPr>
            <w:r>
              <w:rPr>
                <w:rFonts w:hint="default"/>
                <w:b/>
                <w:bCs/>
                <w:color w:val="auto"/>
                <w:lang w:val="en-US" w:eastAsia="zh-CN"/>
              </w:rPr>
              <w:t>品名</w:t>
            </w:r>
          </w:p>
        </w:tc>
        <w:tc>
          <w:tcPr>
            <w:tcW w:w="745" w:type="pct"/>
            <w:shd w:val="clear" w:color="auto" w:fill="auto"/>
            <w:noWrap/>
            <w:vAlign w:val="center"/>
          </w:tcPr>
          <w:p w14:paraId="78DF4A14">
            <w:pPr>
              <w:bidi w:val="0"/>
              <w:jc w:val="center"/>
              <w:rPr>
                <w:rFonts w:hint="default"/>
                <w:b/>
                <w:bCs/>
                <w:color w:val="auto"/>
                <w:lang w:val="en-US" w:eastAsia="zh-CN"/>
              </w:rPr>
            </w:pPr>
            <w:r>
              <w:rPr>
                <w:rFonts w:hint="default"/>
                <w:b/>
                <w:bCs/>
                <w:color w:val="auto"/>
                <w:lang w:val="en-US" w:eastAsia="zh-CN"/>
              </w:rPr>
              <w:t>单位</w:t>
            </w:r>
          </w:p>
        </w:tc>
        <w:tc>
          <w:tcPr>
            <w:tcW w:w="699" w:type="pct"/>
            <w:shd w:val="clear" w:color="auto" w:fill="auto"/>
            <w:noWrap/>
            <w:vAlign w:val="center"/>
          </w:tcPr>
          <w:p w14:paraId="777C5E91">
            <w:pPr>
              <w:bidi w:val="0"/>
              <w:jc w:val="center"/>
              <w:rPr>
                <w:rFonts w:hint="default"/>
                <w:b/>
                <w:bCs/>
                <w:color w:val="auto"/>
                <w:lang w:val="en-US" w:eastAsia="zh-CN"/>
              </w:rPr>
            </w:pPr>
            <w:r>
              <w:rPr>
                <w:rFonts w:hint="default"/>
                <w:b/>
                <w:bCs/>
                <w:color w:val="auto"/>
                <w:lang w:val="en-US" w:eastAsia="zh-CN"/>
              </w:rPr>
              <w:t>数量</w:t>
            </w:r>
          </w:p>
        </w:tc>
        <w:tc>
          <w:tcPr>
            <w:tcW w:w="827" w:type="pct"/>
            <w:shd w:val="clear" w:color="auto" w:fill="auto"/>
            <w:noWrap/>
            <w:vAlign w:val="center"/>
          </w:tcPr>
          <w:p w14:paraId="0B0BDB06">
            <w:pPr>
              <w:bidi w:val="0"/>
              <w:jc w:val="center"/>
              <w:rPr>
                <w:rFonts w:hint="default"/>
                <w:b/>
                <w:bCs/>
                <w:color w:val="auto"/>
                <w:lang w:val="en-US" w:eastAsia="zh-CN"/>
              </w:rPr>
            </w:pPr>
            <w:r>
              <w:rPr>
                <w:rFonts w:hint="default"/>
                <w:b/>
                <w:bCs/>
                <w:color w:val="auto"/>
                <w:lang w:val="en-US" w:eastAsia="zh-CN"/>
              </w:rPr>
              <w:t>备注</w:t>
            </w:r>
          </w:p>
        </w:tc>
      </w:tr>
      <w:tr w14:paraId="2793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7AAEC446">
            <w:pPr>
              <w:bidi w:val="0"/>
              <w:jc w:val="center"/>
              <w:rPr>
                <w:rFonts w:hint="default"/>
                <w:color w:val="auto"/>
                <w:lang w:val="en-US" w:eastAsia="zh-CN"/>
              </w:rPr>
            </w:pPr>
            <w:r>
              <w:rPr>
                <w:rFonts w:hint="default"/>
                <w:color w:val="auto"/>
                <w:lang w:val="en-US" w:eastAsia="zh-CN"/>
              </w:rPr>
              <w:t>1</w:t>
            </w:r>
          </w:p>
        </w:tc>
        <w:tc>
          <w:tcPr>
            <w:tcW w:w="875" w:type="pct"/>
            <w:vMerge w:val="restart"/>
            <w:shd w:val="clear" w:color="auto" w:fill="auto"/>
            <w:noWrap/>
            <w:vAlign w:val="center"/>
          </w:tcPr>
          <w:p w14:paraId="575BF7EF">
            <w:pPr>
              <w:bidi w:val="0"/>
              <w:jc w:val="center"/>
              <w:rPr>
                <w:rFonts w:hint="default"/>
                <w:color w:val="auto"/>
                <w:lang w:val="en-US" w:eastAsia="zh-CN"/>
              </w:rPr>
            </w:pPr>
            <w:r>
              <w:rPr>
                <w:rFonts w:hint="default"/>
                <w:color w:val="auto"/>
                <w:lang w:val="en-US" w:eastAsia="zh-CN"/>
              </w:rPr>
              <w:t>牛奶</w:t>
            </w:r>
          </w:p>
          <w:p w14:paraId="020E7D61">
            <w:pPr>
              <w:bidi w:val="0"/>
              <w:jc w:val="center"/>
              <w:rPr>
                <w:rFonts w:hint="default"/>
                <w:color w:val="auto"/>
                <w:lang w:val="en-US" w:eastAsia="zh-CN"/>
              </w:rPr>
            </w:pPr>
            <w:r>
              <w:rPr>
                <w:rFonts w:hint="default"/>
                <w:color w:val="auto"/>
                <w:lang w:val="en-US" w:eastAsia="zh-CN"/>
              </w:rPr>
              <w:t>饮品</w:t>
            </w:r>
          </w:p>
        </w:tc>
        <w:tc>
          <w:tcPr>
            <w:tcW w:w="1510" w:type="pct"/>
            <w:shd w:val="clear" w:color="auto" w:fill="auto"/>
            <w:vAlign w:val="center"/>
          </w:tcPr>
          <w:p w14:paraId="52CC23EA">
            <w:pPr>
              <w:bidi w:val="0"/>
              <w:jc w:val="center"/>
              <w:rPr>
                <w:rFonts w:hint="default"/>
                <w:color w:val="auto"/>
                <w:lang w:val="en-US" w:eastAsia="zh-CN"/>
              </w:rPr>
            </w:pPr>
            <w:r>
              <w:rPr>
                <w:rFonts w:hint="default"/>
                <w:color w:val="auto"/>
                <w:lang w:val="en-US" w:eastAsia="zh-CN"/>
              </w:rPr>
              <w:t>酸奶</w:t>
            </w:r>
          </w:p>
        </w:tc>
        <w:tc>
          <w:tcPr>
            <w:tcW w:w="745" w:type="pct"/>
            <w:shd w:val="clear" w:color="auto" w:fill="auto"/>
            <w:noWrap/>
            <w:vAlign w:val="center"/>
          </w:tcPr>
          <w:p w14:paraId="6911A6AA">
            <w:pPr>
              <w:bidi w:val="0"/>
              <w:jc w:val="center"/>
              <w:rPr>
                <w:rFonts w:hint="default"/>
                <w:color w:val="auto"/>
                <w:lang w:val="en-US" w:eastAsia="zh-CN"/>
              </w:rPr>
            </w:pPr>
            <w:r>
              <w:rPr>
                <w:rFonts w:hint="default"/>
                <w:color w:val="auto"/>
                <w:lang w:val="en-US" w:eastAsia="zh-CN"/>
              </w:rPr>
              <w:t>瓶</w:t>
            </w:r>
          </w:p>
        </w:tc>
        <w:tc>
          <w:tcPr>
            <w:tcW w:w="699" w:type="pct"/>
            <w:shd w:val="clear" w:color="auto" w:fill="auto"/>
            <w:noWrap/>
            <w:vAlign w:val="center"/>
          </w:tcPr>
          <w:p w14:paraId="1D004840">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1CDDF4B3">
            <w:pPr>
              <w:bidi w:val="0"/>
              <w:jc w:val="center"/>
              <w:rPr>
                <w:rFonts w:hint="default"/>
                <w:color w:val="auto"/>
                <w:lang w:val="en-US" w:eastAsia="zh-CN"/>
              </w:rPr>
            </w:pPr>
          </w:p>
        </w:tc>
      </w:tr>
      <w:tr w14:paraId="4872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3216C53A">
            <w:pPr>
              <w:bidi w:val="0"/>
              <w:jc w:val="center"/>
              <w:rPr>
                <w:rFonts w:hint="default"/>
                <w:color w:val="auto"/>
                <w:lang w:val="en-US" w:eastAsia="zh-CN"/>
              </w:rPr>
            </w:pPr>
            <w:r>
              <w:rPr>
                <w:rFonts w:hint="default"/>
                <w:color w:val="auto"/>
                <w:lang w:val="en-US" w:eastAsia="zh-CN"/>
              </w:rPr>
              <w:t>2</w:t>
            </w:r>
          </w:p>
        </w:tc>
        <w:tc>
          <w:tcPr>
            <w:tcW w:w="875" w:type="pct"/>
            <w:vMerge w:val="continue"/>
            <w:shd w:val="clear" w:color="auto" w:fill="auto"/>
            <w:noWrap/>
            <w:vAlign w:val="center"/>
          </w:tcPr>
          <w:p w14:paraId="3D653BBA">
            <w:pPr>
              <w:bidi w:val="0"/>
              <w:jc w:val="center"/>
              <w:rPr>
                <w:rFonts w:hint="default"/>
                <w:color w:val="auto"/>
                <w:lang w:val="en-US" w:eastAsia="zh-CN"/>
              </w:rPr>
            </w:pPr>
          </w:p>
        </w:tc>
        <w:tc>
          <w:tcPr>
            <w:tcW w:w="1510" w:type="pct"/>
            <w:shd w:val="clear" w:color="auto" w:fill="auto"/>
            <w:vAlign w:val="center"/>
          </w:tcPr>
          <w:p w14:paraId="52315BEB">
            <w:pPr>
              <w:bidi w:val="0"/>
              <w:jc w:val="center"/>
              <w:rPr>
                <w:rFonts w:hint="default"/>
                <w:color w:val="auto"/>
                <w:lang w:val="en-US" w:eastAsia="zh-CN"/>
              </w:rPr>
            </w:pPr>
            <w:r>
              <w:rPr>
                <w:rFonts w:hint="default"/>
                <w:color w:val="auto"/>
                <w:lang w:val="en-US" w:eastAsia="zh-CN"/>
              </w:rPr>
              <w:t>纯牛奶</w:t>
            </w:r>
          </w:p>
        </w:tc>
        <w:tc>
          <w:tcPr>
            <w:tcW w:w="745" w:type="pct"/>
            <w:shd w:val="clear" w:color="auto" w:fill="auto"/>
            <w:noWrap/>
            <w:vAlign w:val="center"/>
          </w:tcPr>
          <w:p w14:paraId="65564E40">
            <w:pPr>
              <w:bidi w:val="0"/>
              <w:jc w:val="center"/>
              <w:rPr>
                <w:rFonts w:hint="default"/>
                <w:color w:val="auto"/>
                <w:lang w:val="en-US" w:eastAsia="zh-CN"/>
              </w:rPr>
            </w:pPr>
            <w:r>
              <w:rPr>
                <w:rFonts w:hint="default"/>
                <w:color w:val="auto"/>
                <w:lang w:val="en-US" w:eastAsia="zh-CN"/>
              </w:rPr>
              <w:t>瓶</w:t>
            </w:r>
          </w:p>
        </w:tc>
        <w:tc>
          <w:tcPr>
            <w:tcW w:w="699" w:type="pct"/>
            <w:shd w:val="clear" w:color="auto" w:fill="auto"/>
            <w:noWrap/>
            <w:vAlign w:val="center"/>
          </w:tcPr>
          <w:p w14:paraId="698BB586">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19B9399E">
            <w:pPr>
              <w:bidi w:val="0"/>
              <w:jc w:val="center"/>
              <w:rPr>
                <w:rFonts w:hint="default"/>
                <w:color w:val="auto"/>
                <w:lang w:val="en-US" w:eastAsia="zh-CN"/>
              </w:rPr>
            </w:pPr>
          </w:p>
        </w:tc>
      </w:tr>
      <w:tr w14:paraId="235DA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10AF7EF2">
            <w:pPr>
              <w:bidi w:val="0"/>
              <w:jc w:val="center"/>
              <w:rPr>
                <w:rFonts w:hint="default"/>
                <w:color w:val="auto"/>
                <w:lang w:val="en-US" w:eastAsia="zh-CN"/>
              </w:rPr>
            </w:pPr>
            <w:r>
              <w:rPr>
                <w:rFonts w:hint="default"/>
                <w:color w:val="auto"/>
                <w:lang w:val="en-US" w:eastAsia="zh-CN"/>
              </w:rPr>
              <w:t>3</w:t>
            </w:r>
          </w:p>
        </w:tc>
        <w:tc>
          <w:tcPr>
            <w:tcW w:w="875" w:type="pct"/>
            <w:vMerge w:val="continue"/>
            <w:shd w:val="clear" w:color="auto" w:fill="auto"/>
            <w:noWrap/>
            <w:vAlign w:val="center"/>
          </w:tcPr>
          <w:p w14:paraId="207C197B">
            <w:pPr>
              <w:bidi w:val="0"/>
              <w:jc w:val="center"/>
              <w:rPr>
                <w:rFonts w:hint="default"/>
                <w:color w:val="auto"/>
                <w:lang w:val="en-US" w:eastAsia="zh-CN"/>
              </w:rPr>
            </w:pPr>
          </w:p>
        </w:tc>
        <w:tc>
          <w:tcPr>
            <w:tcW w:w="1510" w:type="pct"/>
            <w:shd w:val="clear" w:color="auto" w:fill="auto"/>
            <w:vAlign w:val="center"/>
          </w:tcPr>
          <w:p w14:paraId="6A72AC0D">
            <w:pPr>
              <w:bidi w:val="0"/>
              <w:jc w:val="center"/>
              <w:rPr>
                <w:rFonts w:hint="default"/>
                <w:color w:val="auto"/>
                <w:lang w:val="en-US" w:eastAsia="zh-CN"/>
              </w:rPr>
            </w:pPr>
            <w:r>
              <w:rPr>
                <w:rFonts w:hint="default"/>
                <w:color w:val="auto"/>
                <w:lang w:val="en-US" w:eastAsia="zh-CN"/>
              </w:rPr>
              <w:t>多活性乳酸菌饮品</w:t>
            </w:r>
          </w:p>
        </w:tc>
        <w:tc>
          <w:tcPr>
            <w:tcW w:w="745" w:type="pct"/>
            <w:shd w:val="clear" w:color="auto" w:fill="auto"/>
            <w:noWrap/>
            <w:vAlign w:val="center"/>
          </w:tcPr>
          <w:p w14:paraId="35234B7A">
            <w:pPr>
              <w:bidi w:val="0"/>
              <w:jc w:val="center"/>
              <w:rPr>
                <w:rFonts w:hint="default"/>
                <w:color w:val="auto"/>
                <w:lang w:val="en-US" w:eastAsia="zh-CN"/>
              </w:rPr>
            </w:pPr>
            <w:r>
              <w:rPr>
                <w:rFonts w:hint="default"/>
                <w:color w:val="auto"/>
                <w:lang w:val="en-US" w:eastAsia="zh-CN"/>
              </w:rPr>
              <w:t>瓶</w:t>
            </w:r>
          </w:p>
        </w:tc>
        <w:tc>
          <w:tcPr>
            <w:tcW w:w="699" w:type="pct"/>
            <w:shd w:val="clear" w:color="auto" w:fill="auto"/>
            <w:noWrap/>
            <w:vAlign w:val="center"/>
          </w:tcPr>
          <w:p w14:paraId="305CF273">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7E9627D2">
            <w:pPr>
              <w:bidi w:val="0"/>
              <w:jc w:val="center"/>
              <w:rPr>
                <w:rFonts w:hint="default"/>
                <w:color w:val="auto"/>
                <w:lang w:val="en-US" w:eastAsia="zh-CN"/>
              </w:rPr>
            </w:pPr>
          </w:p>
        </w:tc>
      </w:tr>
      <w:tr w14:paraId="47432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7516F7C6">
            <w:pPr>
              <w:bidi w:val="0"/>
              <w:jc w:val="center"/>
              <w:rPr>
                <w:rFonts w:hint="default"/>
                <w:color w:val="auto"/>
                <w:lang w:val="en-US" w:eastAsia="zh-CN"/>
              </w:rPr>
            </w:pPr>
            <w:r>
              <w:rPr>
                <w:rFonts w:hint="default"/>
                <w:color w:val="auto"/>
                <w:lang w:val="en-US" w:eastAsia="zh-CN"/>
              </w:rPr>
              <w:t>4</w:t>
            </w:r>
          </w:p>
        </w:tc>
        <w:tc>
          <w:tcPr>
            <w:tcW w:w="875" w:type="pct"/>
            <w:vMerge w:val="continue"/>
            <w:shd w:val="clear" w:color="auto" w:fill="auto"/>
            <w:noWrap/>
            <w:vAlign w:val="center"/>
          </w:tcPr>
          <w:p w14:paraId="38428CE5">
            <w:pPr>
              <w:bidi w:val="0"/>
              <w:jc w:val="center"/>
              <w:rPr>
                <w:rFonts w:hint="default"/>
                <w:color w:val="auto"/>
                <w:lang w:val="en-US" w:eastAsia="zh-CN"/>
              </w:rPr>
            </w:pPr>
          </w:p>
        </w:tc>
        <w:tc>
          <w:tcPr>
            <w:tcW w:w="1510" w:type="pct"/>
            <w:shd w:val="clear" w:color="auto" w:fill="auto"/>
            <w:vAlign w:val="center"/>
          </w:tcPr>
          <w:p w14:paraId="4C912E2A">
            <w:pPr>
              <w:bidi w:val="0"/>
              <w:jc w:val="center"/>
              <w:rPr>
                <w:rFonts w:hint="default"/>
                <w:color w:val="auto"/>
                <w:lang w:val="en-US" w:eastAsia="zh-CN"/>
              </w:rPr>
            </w:pPr>
            <w:r>
              <w:rPr>
                <w:rFonts w:hint="default"/>
                <w:color w:val="auto"/>
                <w:lang w:val="en-US" w:eastAsia="zh-CN"/>
              </w:rPr>
              <w:t>高钙低脂牛奶</w:t>
            </w:r>
          </w:p>
        </w:tc>
        <w:tc>
          <w:tcPr>
            <w:tcW w:w="745" w:type="pct"/>
            <w:shd w:val="clear" w:color="auto" w:fill="auto"/>
            <w:noWrap/>
            <w:vAlign w:val="center"/>
          </w:tcPr>
          <w:p w14:paraId="40F60B08">
            <w:pPr>
              <w:bidi w:val="0"/>
              <w:jc w:val="center"/>
              <w:rPr>
                <w:rFonts w:hint="default"/>
                <w:color w:val="auto"/>
                <w:lang w:val="en-US" w:eastAsia="zh-CN"/>
              </w:rPr>
            </w:pPr>
            <w:r>
              <w:rPr>
                <w:rFonts w:hint="default"/>
                <w:color w:val="auto"/>
                <w:lang w:val="en-US" w:eastAsia="zh-CN"/>
              </w:rPr>
              <w:t>瓶</w:t>
            </w:r>
          </w:p>
        </w:tc>
        <w:tc>
          <w:tcPr>
            <w:tcW w:w="699" w:type="pct"/>
            <w:shd w:val="clear" w:color="auto" w:fill="auto"/>
            <w:noWrap/>
            <w:vAlign w:val="center"/>
          </w:tcPr>
          <w:p w14:paraId="74D2A84D">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55EC365E">
            <w:pPr>
              <w:bidi w:val="0"/>
              <w:jc w:val="center"/>
              <w:rPr>
                <w:rFonts w:hint="default"/>
                <w:color w:val="auto"/>
                <w:lang w:val="en-US" w:eastAsia="zh-CN"/>
              </w:rPr>
            </w:pPr>
          </w:p>
        </w:tc>
      </w:tr>
      <w:tr w14:paraId="00AE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5D719602">
            <w:pPr>
              <w:bidi w:val="0"/>
              <w:jc w:val="center"/>
              <w:rPr>
                <w:rFonts w:hint="default"/>
                <w:color w:val="auto"/>
                <w:lang w:val="en-US" w:eastAsia="zh-CN"/>
              </w:rPr>
            </w:pPr>
            <w:r>
              <w:rPr>
                <w:rFonts w:hint="default"/>
                <w:color w:val="auto"/>
                <w:lang w:val="en-US" w:eastAsia="zh-CN"/>
              </w:rPr>
              <w:t>5</w:t>
            </w:r>
          </w:p>
        </w:tc>
        <w:tc>
          <w:tcPr>
            <w:tcW w:w="875" w:type="pct"/>
            <w:vMerge w:val="continue"/>
            <w:shd w:val="clear" w:color="auto" w:fill="auto"/>
            <w:noWrap/>
            <w:vAlign w:val="center"/>
          </w:tcPr>
          <w:p w14:paraId="47A43B90">
            <w:pPr>
              <w:bidi w:val="0"/>
              <w:jc w:val="center"/>
              <w:rPr>
                <w:rFonts w:hint="default"/>
                <w:color w:val="auto"/>
                <w:lang w:val="en-US" w:eastAsia="zh-CN"/>
              </w:rPr>
            </w:pPr>
          </w:p>
        </w:tc>
        <w:tc>
          <w:tcPr>
            <w:tcW w:w="1510" w:type="pct"/>
            <w:shd w:val="clear" w:color="auto" w:fill="auto"/>
            <w:vAlign w:val="center"/>
          </w:tcPr>
          <w:p w14:paraId="4A4EC33C">
            <w:pPr>
              <w:bidi w:val="0"/>
              <w:jc w:val="center"/>
              <w:rPr>
                <w:rFonts w:hint="default"/>
                <w:color w:val="auto"/>
                <w:lang w:val="en-US" w:eastAsia="zh-CN"/>
              </w:rPr>
            </w:pPr>
            <w:r>
              <w:rPr>
                <w:rFonts w:hint="default"/>
                <w:color w:val="auto"/>
                <w:lang w:val="en-US" w:eastAsia="zh-CN"/>
              </w:rPr>
              <w:t>矿泉水</w:t>
            </w:r>
          </w:p>
        </w:tc>
        <w:tc>
          <w:tcPr>
            <w:tcW w:w="745" w:type="pct"/>
            <w:shd w:val="clear" w:color="auto" w:fill="auto"/>
            <w:noWrap/>
            <w:vAlign w:val="center"/>
          </w:tcPr>
          <w:p w14:paraId="5CEC106F">
            <w:pPr>
              <w:bidi w:val="0"/>
              <w:jc w:val="center"/>
              <w:rPr>
                <w:rFonts w:hint="default"/>
                <w:color w:val="auto"/>
                <w:lang w:val="en-US" w:eastAsia="zh-CN"/>
              </w:rPr>
            </w:pPr>
            <w:r>
              <w:rPr>
                <w:rFonts w:hint="default"/>
                <w:color w:val="auto"/>
                <w:lang w:val="en-US" w:eastAsia="zh-CN"/>
              </w:rPr>
              <w:t>瓶</w:t>
            </w:r>
          </w:p>
        </w:tc>
        <w:tc>
          <w:tcPr>
            <w:tcW w:w="699" w:type="pct"/>
            <w:shd w:val="clear" w:color="auto" w:fill="auto"/>
            <w:noWrap/>
            <w:vAlign w:val="center"/>
          </w:tcPr>
          <w:p w14:paraId="528AD5ED">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573A99F3">
            <w:pPr>
              <w:bidi w:val="0"/>
              <w:jc w:val="center"/>
              <w:rPr>
                <w:rFonts w:hint="default"/>
                <w:color w:val="auto"/>
                <w:lang w:val="en-US" w:eastAsia="zh-CN"/>
              </w:rPr>
            </w:pPr>
          </w:p>
        </w:tc>
      </w:tr>
      <w:tr w14:paraId="76722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6FE95A78">
            <w:pPr>
              <w:bidi w:val="0"/>
              <w:jc w:val="center"/>
              <w:rPr>
                <w:rFonts w:hint="default"/>
                <w:color w:val="auto"/>
                <w:lang w:val="en-US" w:eastAsia="zh-CN"/>
              </w:rPr>
            </w:pPr>
            <w:r>
              <w:rPr>
                <w:rFonts w:hint="default"/>
                <w:color w:val="auto"/>
                <w:lang w:val="en-US" w:eastAsia="zh-CN"/>
              </w:rPr>
              <w:t>6</w:t>
            </w:r>
          </w:p>
        </w:tc>
        <w:tc>
          <w:tcPr>
            <w:tcW w:w="875" w:type="pct"/>
            <w:vMerge w:val="continue"/>
            <w:shd w:val="clear" w:color="auto" w:fill="auto"/>
            <w:noWrap/>
            <w:vAlign w:val="center"/>
          </w:tcPr>
          <w:p w14:paraId="64491202">
            <w:pPr>
              <w:bidi w:val="0"/>
              <w:jc w:val="center"/>
              <w:rPr>
                <w:rFonts w:hint="default"/>
                <w:color w:val="auto"/>
                <w:lang w:val="en-US" w:eastAsia="zh-CN"/>
              </w:rPr>
            </w:pPr>
          </w:p>
        </w:tc>
        <w:tc>
          <w:tcPr>
            <w:tcW w:w="1510" w:type="pct"/>
            <w:shd w:val="clear" w:color="auto" w:fill="auto"/>
            <w:vAlign w:val="center"/>
          </w:tcPr>
          <w:p w14:paraId="049C4371">
            <w:pPr>
              <w:bidi w:val="0"/>
              <w:jc w:val="center"/>
              <w:rPr>
                <w:rFonts w:hint="default"/>
                <w:color w:val="auto"/>
                <w:lang w:val="en-US" w:eastAsia="zh-CN"/>
              </w:rPr>
            </w:pPr>
            <w:r>
              <w:rPr>
                <w:rFonts w:hint="default"/>
                <w:color w:val="auto"/>
                <w:lang w:val="en-US" w:eastAsia="zh-CN"/>
              </w:rPr>
              <w:t>纯净水</w:t>
            </w:r>
          </w:p>
        </w:tc>
        <w:tc>
          <w:tcPr>
            <w:tcW w:w="745" w:type="pct"/>
            <w:shd w:val="clear" w:color="auto" w:fill="auto"/>
            <w:noWrap/>
            <w:vAlign w:val="center"/>
          </w:tcPr>
          <w:p w14:paraId="5325E615">
            <w:pPr>
              <w:bidi w:val="0"/>
              <w:jc w:val="center"/>
              <w:rPr>
                <w:rFonts w:hint="default"/>
                <w:color w:val="auto"/>
                <w:lang w:val="en-US" w:eastAsia="zh-CN"/>
              </w:rPr>
            </w:pPr>
            <w:r>
              <w:rPr>
                <w:rFonts w:hint="default"/>
                <w:color w:val="auto"/>
                <w:lang w:val="en-US" w:eastAsia="zh-CN"/>
              </w:rPr>
              <w:t>瓶</w:t>
            </w:r>
          </w:p>
        </w:tc>
        <w:tc>
          <w:tcPr>
            <w:tcW w:w="699" w:type="pct"/>
            <w:shd w:val="clear" w:color="auto" w:fill="auto"/>
            <w:noWrap/>
            <w:vAlign w:val="center"/>
          </w:tcPr>
          <w:p w14:paraId="12E04259">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38611E86">
            <w:pPr>
              <w:bidi w:val="0"/>
              <w:jc w:val="center"/>
              <w:rPr>
                <w:rFonts w:hint="default"/>
                <w:color w:val="auto"/>
                <w:lang w:val="en-US" w:eastAsia="zh-CN"/>
              </w:rPr>
            </w:pPr>
          </w:p>
        </w:tc>
      </w:tr>
      <w:tr w14:paraId="2132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1A79856F">
            <w:pPr>
              <w:bidi w:val="0"/>
              <w:jc w:val="center"/>
              <w:rPr>
                <w:rFonts w:hint="default"/>
                <w:color w:val="auto"/>
                <w:lang w:val="en-US" w:eastAsia="zh-CN"/>
              </w:rPr>
            </w:pPr>
            <w:r>
              <w:rPr>
                <w:rFonts w:hint="default"/>
                <w:color w:val="auto"/>
                <w:lang w:val="en-US" w:eastAsia="zh-CN"/>
              </w:rPr>
              <w:t>7</w:t>
            </w:r>
          </w:p>
        </w:tc>
        <w:tc>
          <w:tcPr>
            <w:tcW w:w="875" w:type="pct"/>
            <w:vMerge w:val="continue"/>
            <w:shd w:val="clear" w:color="auto" w:fill="auto"/>
            <w:noWrap/>
            <w:vAlign w:val="center"/>
          </w:tcPr>
          <w:p w14:paraId="1D936641">
            <w:pPr>
              <w:bidi w:val="0"/>
              <w:jc w:val="center"/>
              <w:rPr>
                <w:rFonts w:hint="default"/>
                <w:color w:val="auto"/>
                <w:lang w:val="en-US" w:eastAsia="zh-CN"/>
              </w:rPr>
            </w:pPr>
          </w:p>
        </w:tc>
        <w:tc>
          <w:tcPr>
            <w:tcW w:w="1510" w:type="pct"/>
            <w:shd w:val="clear" w:color="auto" w:fill="auto"/>
            <w:vAlign w:val="center"/>
          </w:tcPr>
          <w:p w14:paraId="33856FFE">
            <w:pPr>
              <w:bidi w:val="0"/>
              <w:jc w:val="center"/>
              <w:rPr>
                <w:rFonts w:hint="default"/>
                <w:color w:val="auto"/>
                <w:lang w:val="en-US" w:eastAsia="zh-CN"/>
              </w:rPr>
            </w:pPr>
            <w:r>
              <w:rPr>
                <w:rFonts w:hint="default"/>
                <w:color w:val="auto"/>
                <w:lang w:val="en-US" w:eastAsia="zh-CN"/>
              </w:rPr>
              <w:t>凉茶</w:t>
            </w:r>
          </w:p>
        </w:tc>
        <w:tc>
          <w:tcPr>
            <w:tcW w:w="745" w:type="pct"/>
            <w:shd w:val="clear" w:color="auto" w:fill="auto"/>
            <w:noWrap/>
            <w:vAlign w:val="center"/>
          </w:tcPr>
          <w:p w14:paraId="685ED353">
            <w:pPr>
              <w:bidi w:val="0"/>
              <w:jc w:val="center"/>
              <w:rPr>
                <w:rFonts w:hint="default"/>
                <w:color w:val="auto"/>
                <w:lang w:val="en-US" w:eastAsia="zh-CN"/>
              </w:rPr>
            </w:pPr>
            <w:r>
              <w:rPr>
                <w:rFonts w:hint="default"/>
                <w:color w:val="auto"/>
                <w:lang w:val="en-US" w:eastAsia="zh-CN"/>
              </w:rPr>
              <w:t>瓶</w:t>
            </w:r>
          </w:p>
        </w:tc>
        <w:tc>
          <w:tcPr>
            <w:tcW w:w="699" w:type="pct"/>
            <w:shd w:val="clear" w:color="auto" w:fill="auto"/>
            <w:noWrap/>
            <w:vAlign w:val="center"/>
          </w:tcPr>
          <w:p w14:paraId="3B48A05F">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39ADD2A6">
            <w:pPr>
              <w:bidi w:val="0"/>
              <w:jc w:val="center"/>
              <w:rPr>
                <w:rFonts w:hint="default"/>
                <w:color w:val="auto"/>
                <w:lang w:val="en-US" w:eastAsia="zh-CN"/>
              </w:rPr>
            </w:pPr>
          </w:p>
        </w:tc>
      </w:tr>
      <w:tr w14:paraId="2FCC5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7343CF4D">
            <w:pPr>
              <w:bidi w:val="0"/>
              <w:jc w:val="center"/>
              <w:rPr>
                <w:rFonts w:hint="default"/>
                <w:color w:val="auto"/>
                <w:lang w:val="en-US" w:eastAsia="zh-CN"/>
              </w:rPr>
            </w:pPr>
            <w:r>
              <w:rPr>
                <w:rFonts w:hint="default"/>
                <w:color w:val="auto"/>
                <w:lang w:val="en-US" w:eastAsia="zh-CN"/>
              </w:rPr>
              <w:t>8</w:t>
            </w:r>
          </w:p>
        </w:tc>
        <w:tc>
          <w:tcPr>
            <w:tcW w:w="875" w:type="pct"/>
            <w:vMerge w:val="restart"/>
            <w:shd w:val="clear" w:color="auto" w:fill="auto"/>
            <w:noWrap/>
            <w:vAlign w:val="center"/>
          </w:tcPr>
          <w:p w14:paraId="3D3E689C">
            <w:pPr>
              <w:bidi w:val="0"/>
              <w:jc w:val="center"/>
              <w:rPr>
                <w:rFonts w:hint="default"/>
                <w:color w:val="auto"/>
                <w:lang w:val="en-US" w:eastAsia="zh-CN"/>
              </w:rPr>
            </w:pPr>
            <w:r>
              <w:rPr>
                <w:rFonts w:hint="default"/>
                <w:color w:val="auto"/>
                <w:lang w:val="en-US" w:eastAsia="zh-CN"/>
              </w:rPr>
              <w:t>饼干糕点</w:t>
            </w:r>
          </w:p>
        </w:tc>
        <w:tc>
          <w:tcPr>
            <w:tcW w:w="1510" w:type="pct"/>
            <w:shd w:val="clear" w:color="auto" w:fill="auto"/>
            <w:vAlign w:val="center"/>
          </w:tcPr>
          <w:p w14:paraId="1B47F1F9">
            <w:pPr>
              <w:bidi w:val="0"/>
              <w:jc w:val="center"/>
              <w:rPr>
                <w:rFonts w:hint="default"/>
                <w:color w:val="auto"/>
                <w:lang w:val="en-US" w:eastAsia="zh-CN"/>
              </w:rPr>
            </w:pPr>
            <w:r>
              <w:rPr>
                <w:rFonts w:hint="default"/>
                <w:color w:val="auto"/>
                <w:lang w:val="en-US" w:eastAsia="zh-CN"/>
              </w:rPr>
              <w:t>沙琪玛（软）</w:t>
            </w:r>
          </w:p>
        </w:tc>
        <w:tc>
          <w:tcPr>
            <w:tcW w:w="745" w:type="pct"/>
            <w:shd w:val="clear" w:color="auto" w:fill="auto"/>
            <w:noWrap/>
            <w:vAlign w:val="center"/>
          </w:tcPr>
          <w:p w14:paraId="5A4E4F94">
            <w:pPr>
              <w:bidi w:val="0"/>
              <w:jc w:val="center"/>
              <w:rPr>
                <w:rFonts w:hint="default"/>
                <w:color w:val="auto"/>
                <w:lang w:val="en-US" w:eastAsia="zh-CN"/>
              </w:rPr>
            </w:pPr>
            <w:r>
              <w:rPr>
                <w:rFonts w:hint="default"/>
                <w:color w:val="auto"/>
                <w:lang w:val="en-US" w:eastAsia="zh-CN"/>
              </w:rPr>
              <w:t>斤</w:t>
            </w:r>
          </w:p>
        </w:tc>
        <w:tc>
          <w:tcPr>
            <w:tcW w:w="699" w:type="pct"/>
            <w:shd w:val="clear" w:color="auto" w:fill="auto"/>
            <w:noWrap/>
            <w:vAlign w:val="center"/>
          </w:tcPr>
          <w:p w14:paraId="05AACE11">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3337701E">
            <w:pPr>
              <w:bidi w:val="0"/>
              <w:jc w:val="center"/>
              <w:rPr>
                <w:rFonts w:hint="default"/>
                <w:color w:val="auto"/>
                <w:lang w:val="en-US" w:eastAsia="zh-CN"/>
              </w:rPr>
            </w:pPr>
          </w:p>
        </w:tc>
      </w:tr>
      <w:tr w14:paraId="6872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5E1581EC">
            <w:pPr>
              <w:bidi w:val="0"/>
              <w:jc w:val="center"/>
              <w:rPr>
                <w:rFonts w:hint="default"/>
                <w:color w:val="auto"/>
                <w:lang w:val="en-US" w:eastAsia="zh-CN"/>
              </w:rPr>
            </w:pPr>
            <w:r>
              <w:rPr>
                <w:rFonts w:hint="default"/>
                <w:color w:val="auto"/>
                <w:lang w:val="en-US" w:eastAsia="zh-CN"/>
              </w:rPr>
              <w:t>9</w:t>
            </w:r>
          </w:p>
        </w:tc>
        <w:tc>
          <w:tcPr>
            <w:tcW w:w="875" w:type="pct"/>
            <w:vMerge w:val="continue"/>
            <w:shd w:val="clear" w:color="auto" w:fill="auto"/>
            <w:noWrap/>
            <w:vAlign w:val="center"/>
          </w:tcPr>
          <w:p w14:paraId="5B109CDD">
            <w:pPr>
              <w:bidi w:val="0"/>
              <w:jc w:val="center"/>
              <w:rPr>
                <w:rFonts w:hint="default"/>
                <w:color w:val="auto"/>
                <w:lang w:val="en-US" w:eastAsia="zh-CN"/>
              </w:rPr>
            </w:pPr>
          </w:p>
        </w:tc>
        <w:tc>
          <w:tcPr>
            <w:tcW w:w="1510" w:type="pct"/>
            <w:shd w:val="clear" w:color="auto" w:fill="auto"/>
            <w:vAlign w:val="center"/>
          </w:tcPr>
          <w:p w14:paraId="29B66DDC">
            <w:pPr>
              <w:bidi w:val="0"/>
              <w:jc w:val="center"/>
              <w:rPr>
                <w:rFonts w:hint="default"/>
                <w:color w:val="auto"/>
                <w:lang w:val="en-US" w:eastAsia="zh-CN"/>
              </w:rPr>
            </w:pPr>
            <w:r>
              <w:rPr>
                <w:rFonts w:hint="default"/>
                <w:color w:val="auto"/>
                <w:lang w:val="en-US" w:eastAsia="zh-CN"/>
              </w:rPr>
              <w:t>三明治面包</w:t>
            </w:r>
          </w:p>
        </w:tc>
        <w:tc>
          <w:tcPr>
            <w:tcW w:w="745" w:type="pct"/>
            <w:shd w:val="clear" w:color="auto" w:fill="auto"/>
            <w:noWrap/>
            <w:vAlign w:val="center"/>
          </w:tcPr>
          <w:p w14:paraId="22AA1EB3">
            <w:pPr>
              <w:bidi w:val="0"/>
              <w:jc w:val="center"/>
              <w:rPr>
                <w:rFonts w:hint="default"/>
                <w:color w:val="auto"/>
                <w:lang w:val="en-US" w:eastAsia="zh-CN"/>
              </w:rPr>
            </w:pPr>
            <w:r>
              <w:rPr>
                <w:rFonts w:hint="default"/>
                <w:color w:val="auto"/>
                <w:lang w:val="en-US" w:eastAsia="zh-CN"/>
              </w:rPr>
              <w:t>斤</w:t>
            </w:r>
          </w:p>
        </w:tc>
        <w:tc>
          <w:tcPr>
            <w:tcW w:w="699" w:type="pct"/>
            <w:shd w:val="clear" w:color="auto" w:fill="auto"/>
            <w:noWrap/>
            <w:vAlign w:val="center"/>
          </w:tcPr>
          <w:p w14:paraId="3CC3DE93">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57548EEF">
            <w:pPr>
              <w:bidi w:val="0"/>
              <w:jc w:val="center"/>
              <w:rPr>
                <w:rFonts w:hint="default"/>
                <w:color w:val="auto"/>
                <w:lang w:val="en-US" w:eastAsia="zh-CN"/>
              </w:rPr>
            </w:pPr>
          </w:p>
        </w:tc>
      </w:tr>
      <w:tr w14:paraId="2821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63A964C9">
            <w:pPr>
              <w:bidi w:val="0"/>
              <w:jc w:val="center"/>
              <w:rPr>
                <w:rFonts w:hint="default"/>
                <w:color w:val="auto"/>
                <w:lang w:val="en-US" w:eastAsia="zh-CN"/>
              </w:rPr>
            </w:pPr>
            <w:r>
              <w:rPr>
                <w:rFonts w:hint="default"/>
                <w:color w:val="auto"/>
                <w:lang w:val="en-US" w:eastAsia="zh-CN"/>
              </w:rPr>
              <w:t>10</w:t>
            </w:r>
          </w:p>
        </w:tc>
        <w:tc>
          <w:tcPr>
            <w:tcW w:w="875" w:type="pct"/>
            <w:vMerge w:val="continue"/>
            <w:shd w:val="clear" w:color="auto" w:fill="auto"/>
            <w:noWrap/>
            <w:vAlign w:val="center"/>
          </w:tcPr>
          <w:p w14:paraId="54DFA099">
            <w:pPr>
              <w:bidi w:val="0"/>
              <w:jc w:val="center"/>
              <w:rPr>
                <w:rFonts w:hint="default"/>
                <w:color w:val="auto"/>
                <w:lang w:val="en-US" w:eastAsia="zh-CN"/>
              </w:rPr>
            </w:pPr>
          </w:p>
        </w:tc>
        <w:tc>
          <w:tcPr>
            <w:tcW w:w="1510" w:type="pct"/>
            <w:shd w:val="clear" w:color="auto" w:fill="auto"/>
            <w:vAlign w:val="center"/>
          </w:tcPr>
          <w:p w14:paraId="432016DA">
            <w:pPr>
              <w:bidi w:val="0"/>
              <w:jc w:val="center"/>
              <w:rPr>
                <w:rFonts w:hint="default"/>
                <w:color w:val="auto"/>
                <w:lang w:val="en-US" w:eastAsia="zh-CN"/>
              </w:rPr>
            </w:pPr>
            <w:r>
              <w:rPr>
                <w:rFonts w:hint="default"/>
                <w:color w:val="auto"/>
                <w:lang w:val="en-US" w:eastAsia="zh-CN"/>
              </w:rPr>
              <w:t>糕点</w:t>
            </w:r>
          </w:p>
        </w:tc>
        <w:tc>
          <w:tcPr>
            <w:tcW w:w="745" w:type="pct"/>
            <w:shd w:val="clear" w:color="auto" w:fill="auto"/>
            <w:noWrap/>
            <w:vAlign w:val="center"/>
          </w:tcPr>
          <w:p w14:paraId="36270FFE">
            <w:pPr>
              <w:bidi w:val="0"/>
              <w:jc w:val="center"/>
              <w:rPr>
                <w:rFonts w:hint="default"/>
                <w:color w:val="auto"/>
                <w:lang w:val="en-US" w:eastAsia="zh-CN"/>
              </w:rPr>
            </w:pPr>
            <w:r>
              <w:rPr>
                <w:rFonts w:hint="default"/>
                <w:color w:val="auto"/>
                <w:lang w:val="en-US" w:eastAsia="zh-CN"/>
              </w:rPr>
              <w:t>斤</w:t>
            </w:r>
          </w:p>
        </w:tc>
        <w:tc>
          <w:tcPr>
            <w:tcW w:w="699" w:type="pct"/>
            <w:shd w:val="clear" w:color="auto" w:fill="auto"/>
            <w:noWrap/>
            <w:vAlign w:val="center"/>
          </w:tcPr>
          <w:p w14:paraId="2F8924F9">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2DEAA6D2">
            <w:pPr>
              <w:bidi w:val="0"/>
              <w:jc w:val="center"/>
              <w:rPr>
                <w:rFonts w:hint="default"/>
                <w:color w:val="auto"/>
                <w:lang w:val="en-US" w:eastAsia="zh-CN"/>
              </w:rPr>
            </w:pPr>
          </w:p>
        </w:tc>
      </w:tr>
      <w:tr w14:paraId="73C68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7C59C21B">
            <w:pPr>
              <w:bidi w:val="0"/>
              <w:jc w:val="center"/>
              <w:rPr>
                <w:rFonts w:hint="default"/>
                <w:color w:val="auto"/>
                <w:lang w:val="en-US" w:eastAsia="zh-CN"/>
              </w:rPr>
            </w:pPr>
            <w:r>
              <w:rPr>
                <w:rFonts w:hint="default"/>
                <w:color w:val="auto"/>
                <w:lang w:val="en-US" w:eastAsia="zh-CN"/>
              </w:rPr>
              <w:t>11</w:t>
            </w:r>
          </w:p>
        </w:tc>
        <w:tc>
          <w:tcPr>
            <w:tcW w:w="875" w:type="pct"/>
            <w:vMerge w:val="continue"/>
            <w:shd w:val="clear" w:color="auto" w:fill="auto"/>
            <w:noWrap/>
            <w:vAlign w:val="center"/>
          </w:tcPr>
          <w:p w14:paraId="5E3598F4">
            <w:pPr>
              <w:bidi w:val="0"/>
              <w:jc w:val="center"/>
              <w:rPr>
                <w:rFonts w:hint="default"/>
                <w:color w:val="auto"/>
                <w:lang w:val="en-US" w:eastAsia="zh-CN"/>
              </w:rPr>
            </w:pPr>
          </w:p>
        </w:tc>
        <w:tc>
          <w:tcPr>
            <w:tcW w:w="1510" w:type="pct"/>
            <w:shd w:val="clear" w:color="auto" w:fill="auto"/>
            <w:vAlign w:val="center"/>
          </w:tcPr>
          <w:p w14:paraId="08232554">
            <w:pPr>
              <w:bidi w:val="0"/>
              <w:jc w:val="center"/>
              <w:rPr>
                <w:rFonts w:hint="default"/>
                <w:color w:val="auto"/>
                <w:lang w:val="en-US" w:eastAsia="zh-CN"/>
              </w:rPr>
            </w:pPr>
            <w:r>
              <w:rPr>
                <w:rFonts w:hint="default"/>
                <w:color w:val="auto"/>
                <w:lang w:val="en-US" w:eastAsia="zh-CN"/>
              </w:rPr>
              <w:t>饼干</w:t>
            </w:r>
          </w:p>
        </w:tc>
        <w:tc>
          <w:tcPr>
            <w:tcW w:w="745" w:type="pct"/>
            <w:shd w:val="clear" w:color="auto" w:fill="auto"/>
            <w:noWrap/>
            <w:vAlign w:val="center"/>
          </w:tcPr>
          <w:p w14:paraId="6395E5E3">
            <w:pPr>
              <w:bidi w:val="0"/>
              <w:jc w:val="center"/>
              <w:rPr>
                <w:rFonts w:hint="default"/>
                <w:color w:val="auto"/>
                <w:lang w:val="en-US" w:eastAsia="zh-CN"/>
              </w:rPr>
            </w:pPr>
            <w:r>
              <w:rPr>
                <w:rFonts w:hint="default"/>
                <w:color w:val="auto"/>
                <w:lang w:val="en-US" w:eastAsia="zh-CN"/>
              </w:rPr>
              <w:t>包/斤</w:t>
            </w:r>
          </w:p>
        </w:tc>
        <w:tc>
          <w:tcPr>
            <w:tcW w:w="699" w:type="pct"/>
            <w:shd w:val="clear" w:color="auto" w:fill="auto"/>
            <w:noWrap/>
            <w:vAlign w:val="center"/>
          </w:tcPr>
          <w:p w14:paraId="357E8CC4">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7F9C1C3B">
            <w:pPr>
              <w:bidi w:val="0"/>
              <w:jc w:val="center"/>
              <w:rPr>
                <w:rFonts w:hint="default"/>
                <w:color w:val="auto"/>
                <w:lang w:val="en-US" w:eastAsia="zh-CN"/>
              </w:rPr>
            </w:pPr>
          </w:p>
        </w:tc>
      </w:tr>
      <w:tr w14:paraId="315C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7AC8F26E">
            <w:pPr>
              <w:bidi w:val="0"/>
              <w:jc w:val="center"/>
              <w:rPr>
                <w:rFonts w:hint="default"/>
                <w:color w:val="auto"/>
                <w:lang w:val="en-US" w:eastAsia="zh-CN"/>
              </w:rPr>
            </w:pPr>
            <w:r>
              <w:rPr>
                <w:rFonts w:hint="default"/>
                <w:color w:val="auto"/>
                <w:lang w:val="en-US" w:eastAsia="zh-CN"/>
              </w:rPr>
              <w:t>12</w:t>
            </w:r>
          </w:p>
        </w:tc>
        <w:tc>
          <w:tcPr>
            <w:tcW w:w="875" w:type="pct"/>
            <w:vMerge w:val="continue"/>
            <w:shd w:val="clear" w:color="auto" w:fill="auto"/>
            <w:noWrap/>
            <w:vAlign w:val="center"/>
          </w:tcPr>
          <w:p w14:paraId="7E8A78D7">
            <w:pPr>
              <w:bidi w:val="0"/>
              <w:jc w:val="center"/>
              <w:rPr>
                <w:rFonts w:hint="default"/>
                <w:color w:val="auto"/>
                <w:lang w:val="en-US" w:eastAsia="zh-CN"/>
              </w:rPr>
            </w:pPr>
          </w:p>
        </w:tc>
        <w:tc>
          <w:tcPr>
            <w:tcW w:w="1510" w:type="pct"/>
            <w:shd w:val="clear" w:color="auto" w:fill="auto"/>
            <w:vAlign w:val="center"/>
          </w:tcPr>
          <w:p w14:paraId="513EE117">
            <w:pPr>
              <w:bidi w:val="0"/>
              <w:jc w:val="center"/>
              <w:rPr>
                <w:rFonts w:hint="default"/>
                <w:color w:val="auto"/>
                <w:lang w:val="en-US" w:eastAsia="zh-CN"/>
              </w:rPr>
            </w:pPr>
            <w:r>
              <w:rPr>
                <w:rFonts w:hint="default"/>
                <w:color w:val="auto"/>
                <w:lang w:val="en-US" w:eastAsia="zh-CN"/>
              </w:rPr>
              <w:t>月饼</w:t>
            </w:r>
          </w:p>
        </w:tc>
        <w:tc>
          <w:tcPr>
            <w:tcW w:w="745" w:type="pct"/>
            <w:shd w:val="clear" w:color="auto" w:fill="auto"/>
            <w:noWrap/>
            <w:vAlign w:val="center"/>
          </w:tcPr>
          <w:p w14:paraId="4F54FF76">
            <w:pPr>
              <w:bidi w:val="0"/>
              <w:jc w:val="center"/>
              <w:rPr>
                <w:rFonts w:hint="default"/>
                <w:color w:val="auto"/>
                <w:lang w:val="en-US" w:eastAsia="zh-CN"/>
              </w:rPr>
            </w:pPr>
            <w:r>
              <w:rPr>
                <w:rFonts w:hint="default"/>
                <w:color w:val="auto"/>
                <w:lang w:val="en-US" w:eastAsia="zh-CN"/>
              </w:rPr>
              <w:t>盒/斤</w:t>
            </w:r>
          </w:p>
        </w:tc>
        <w:tc>
          <w:tcPr>
            <w:tcW w:w="699" w:type="pct"/>
            <w:shd w:val="clear" w:color="auto" w:fill="auto"/>
            <w:noWrap/>
            <w:vAlign w:val="center"/>
          </w:tcPr>
          <w:p w14:paraId="4191AA2D">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4BBEC387">
            <w:pPr>
              <w:bidi w:val="0"/>
              <w:jc w:val="center"/>
              <w:rPr>
                <w:rFonts w:hint="default"/>
                <w:color w:val="auto"/>
                <w:lang w:val="en-US" w:eastAsia="zh-CN"/>
              </w:rPr>
            </w:pPr>
          </w:p>
        </w:tc>
      </w:tr>
      <w:tr w14:paraId="397B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4AB7C8AC">
            <w:pPr>
              <w:bidi w:val="0"/>
              <w:jc w:val="center"/>
              <w:rPr>
                <w:rFonts w:hint="default"/>
                <w:color w:val="auto"/>
                <w:lang w:val="en-US" w:eastAsia="zh-CN"/>
              </w:rPr>
            </w:pPr>
            <w:r>
              <w:rPr>
                <w:rFonts w:hint="default"/>
                <w:color w:val="auto"/>
                <w:lang w:val="en-US" w:eastAsia="zh-CN"/>
              </w:rPr>
              <w:t>13</w:t>
            </w:r>
          </w:p>
        </w:tc>
        <w:tc>
          <w:tcPr>
            <w:tcW w:w="875" w:type="pct"/>
            <w:vMerge w:val="continue"/>
            <w:shd w:val="clear" w:color="auto" w:fill="auto"/>
            <w:noWrap/>
            <w:vAlign w:val="center"/>
          </w:tcPr>
          <w:p w14:paraId="06331697">
            <w:pPr>
              <w:bidi w:val="0"/>
              <w:jc w:val="center"/>
              <w:rPr>
                <w:rFonts w:hint="default"/>
                <w:color w:val="auto"/>
                <w:lang w:val="en-US" w:eastAsia="zh-CN"/>
              </w:rPr>
            </w:pPr>
          </w:p>
        </w:tc>
        <w:tc>
          <w:tcPr>
            <w:tcW w:w="1510" w:type="pct"/>
            <w:shd w:val="clear" w:color="auto" w:fill="auto"/>
            <w:vAlign w:val="center"/>
          </w:tcPr>
          <w:p w14:paraId="1E9D26CE">
            <w:pPr>
              <w:bidi w:val="0"/>
              <w:jc w:val="center"/>
              <w:rPr>
                <w:rFonts w:hint="default"/>
                <w:color w:val="auto"/>
                <w:lang w:val="en-US" w:eastAsia="zh-CN"/>
              </w:rPr>
            </w:pPr>
            <w:r>
              <w:rPr>
                <w:rFonts w:hint="default"/>
                <w:color w:val="auto"/>
                <w:lang w:val="en-US" w:eastAsia="zh-CN"/>
              </w:rPr>
              <w:t>曲奇饼</w:t>
            </w:r>
          </w:p>
        </w:tc>
        <w:tc>
          <w:tcPr>
            <w:tcW w:w="745" w:type="pct"/>
            <w:shd w:val="clear" w:color="auto" w:fill="auto"/>
            <w:noWrap/>
            <w:vAlign w:val="center"/>
          </w:tcPr>
          <w:p w14:paraId="6A667BAB">
            <w:pPr>
              <w:bidi w:val="0"/>
              <w:jc w:val="center"/>
              <w:rPr>
                <w:rFonts w:hint="default"/>
                <w:color w:val="auto"/>
                <w:lang w:val="en-US" w:eastAsia="zh-CN"/>
              </w:rPr>
            </w:pPr>
            <w:r>
              <w:rPr>
                <w:rFonts w:hint="default"/>
                <w:color w:val="auto"/>
                <w:lang w:val="en-US" w:eastAsia="zh-CN"/>
              </w:rPr>
              <w:t>盒/斤</w:t>
            </w:r>
          </w:p>
        </w:tc>
        <w:tc>
          <w:tcPr>
            <w:tcW w:w="699" w:type="pct"/>
            <w:shd w:val="clear" w:color="auto" w:fill="auto"/>
            <w:noWrap/>
            <w:vAlign w:val="center"/>
          </w:tcPr>
          <w:p w14:paraId="417A8AFC">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6870DAA3">
            <w:pPr>
              <w:bidi w:val="0"/>
              <w:jc w:val="center"/>
              <w:rPr>
                <w:rFonts w:hint="default"/>
                <w:color w:val="auto"/>
                <w:lang w:val="en-US" w:eastAsia="zh-CN"/>
              </w:rPr>
            </w:pPr>
          </w:p>
        </w:tc>
      </w:tr>
      <w:tr w14:paraId="0728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2CFC1FB3">
            <w:pPr>
              <w:bidi w:val="0"/>
              <w:jc w:val="center"/>
              <w:rPr>
                <w:rFonts w:hint="default"/>
                <w:color w:val="auto"/>
                <w:lang w:val="en-US" w:eastAsia="zh-CN"/>
              </w:rPr>
            </w:pPr>
            <w:r>
              <w:rPr>
                <w:rFonts w:hint="default"/>
                <w:color w:val="auto"/>
                <w:lang w:val="en-US" w:eastAsia="zh-CN"/>
              </w:rPr>
              <w:t>14</w:t>
            </w:r>
          </w:p>
        </w:tc>
        <w:tc>
          <w:tcPr>
            <w:tcW w:w="875" w:type="pct"/>
            <w:vMerge w:val="continue"/>
            <w:shd w:val="clear" w:color="auto" w:fill="auto"/>
            <w:noWrap/>
            <w:vAlign w:val="center"/>
          </w:tcPr>
          <w:p w14:paraId="3D440501">
            <w:pPr>
              <w:bidi w:val="0"/>
              <w:jc w:val="center"/>
              <w:rPr>
                <w:rFonts w:hint="default"/>
                <w:color w:val="auto"/>
                <w:lang w:val="en-US" w:eastAsia="zh-CN"/>
              </w:rPr>
            </w:pPr>
          </w:p>
        </w:tc>
        <w:tc>
          <w:tcPr>
            <w:tcW w:w="1510" w:type="pct"/>
            <w:shd w:val="clear" w:color="auto" w:fill="auto"/>
            <w:vAlign w:val="center"/>
          </w:tcPr>
          <w:p w14:paraId="6EF88940">
            <w:pPr>
              <w:bidi w:val="0"/>
              <w:jc w:val="center"/>
              <w:rPr>
                <w:rFonts w:hint="default"/>
                <w:color w:val="auto"/>
                <w:lang w:val="en-US" w:eastAsia="zh-CN"/>
              </w:rPr>
            </w:pPr>
            <w:r>
              <w:rPr>
                <w:rFonts w:hint="default"/>
                <w:color w:val="auto"/>
                <w:lang w:val="en-US" w:eastAsia="zh-CN"/>
              </w:rPr>
              <w:t>威化饼干</w:t>
            </w:r>
          </w:p>
        </w:tc>
        <w:tc>
          <w:tcPr>
            <w:tcW w:w="745" w:type="pct"/>
            <w:shd w:val="clear" w:color="auto" w:fill="auto"/>
            <w:noWrap/>
            <w:vAlign w:val="center"/>
          </w:tcPr>
          <w:p w14:paraId="2DE4F61B">
            <w:pPr>
              <w:bidi w:val="0"/>
              <w:jc w:val="center"/>
              <w:rPr>
                <w:rFonts w:hint="default"/>
                <w:color w:val="auto"/>
                <w:lang w:val="en-US" w:eastAsia="zh-CN"/>
              </w:rPr>
            </w:pPr>
            <w:r>
              <w:rPr>
                <w:rFonts w:hint="default"/>
                <w:color w:val="auto"/>
                <w:lang w:val="en-US" w:eastAsia="zh-CN"/>
              </w:rPr>
              <w:t>包/斤</w:t>
            </w:r>
          </w:p>
        </w:tc>
        <w:tc>
          <w:tcPr>
            <w:tcW w:w="699" w:type="pct"/>
            <w:shd w:val="clear" w:color="auto" w:fill="auto"/>
            <w:noWrap/>
            <w:vAlign w:val="center"/>
          </w:tcPr>
          <w:p w14:paraId="5102CE68">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32288202">
            <w:pPr>
              <w:bidi w:val="0"/>
              <w:jc w:val="center"/>
              <w:rPr>
                <w:rFonts w:hint="default"/>
                <w:color w:val="auto"/>
                <w:lang w:val="en-US" w:eastAsia="zh-CN"/>
              </w:rPr>
            </w:pPr>
          </w:p>
        </w:tc>
      </w:tr>
      <w:tr w14:paraId="7F357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08F25901">
            <w:pPr>
              <w:bidi w:val="0"/>
              <w:jc w:val="center"/>
              <w:rPr>
                <w:rFonts w:hint="default"/>
                <w:color w:val="auto"/>
                <w:lang w:val="en-US" w:eastAsia="zh-CN"/>
              </w:rPr>
            </w:pPr>
            <w:r>
              <w:rPr>
                <w:rFonts w:hint="default"/>
                <w:color w:val="auto"/>
                <w:lang w:val="en-US" w:eastAsia="zh-CN"/>
              </w:rPr>
              <w:t>15</w:t>
            </w:r>
          </w:p>
        </w:tc>
        <w:tc>
          <w:tcPr>
            <w:tcW w:w="875" w:type="pct"/>
            <w:vMerge w:val="continue"/>
            <w:shd w:val="clear" w:color="auto" w:fill="auto"/>
            <w:noWrap/>
            <w:vAlign w:val="center"/>
          </w:tcPr>
          <w:p w14:paraId="699BF083">
            <w:pPr>
              <w:bidi w:val="0"/>
              <w:jc w:val="center"/>
              <w:rPr>
                <w:rFonts w:hint="default"/>
                <w:color w:val="auto"/>
                <w:lang w:val="en-US" w:eastAsia="zh-CN"/>
              </w:rPr>
            </w:pPr>
          </w:p>
        </w:tc>
        <w:tc>
          <w:tcPr>
            <w:tcW w:w="1510" w:type="pct"/>
            <w:shd w:val="clear" w:color="auto" w:fill="auto"/>
            <w:vAlign w:val="center"/>
          </w:tcPr>
          <w:p w14:paraId="0D4ED746">
            <w:pPr>
              <w:bidi w:val="0"/>
              <w:jc w:val="center"/>
              <w:rPr>
                <w:rFonts w:hint="default"/>
                <w:color w:val="auto"/>
                <w:lang w:val="en-US" w:eastAsia="zh-CN"/>
              </w:rPr>
            </w:pPr>
            <w:r>
              <w:rPr>
                <w:rFonts w:hint="default"/>
                <w:color w:val="auto"/>
                <w:lang w:val="en-US" w:eastAsia="zh-CN"/>
              </w:rPr>
              <w:t>生日蛋糕</w:t>
            </w:r>
          </w:p>
        </w:tc>
        <w:tc>
          <w:tcPr>
            <w:tcW w:w="745" w:type="pct"/>
            <w:shd w:val="clear" w:color="auto" w:fill="auto"/>
            <w:noWrap/>
            <w:vAlign w:val="center"/>
          </w:tcPr>
          <w:p w14:paraId="113169F9">
            <w:pPr>
              <w:bidi w:val="0"/>
              <w:jc w:val="center"/>
              <w:rPr>
                <w:rFonts w:hint="default"/>
                <w:color w:val="auto"/>
                <w:lang w:val="en-US" w:eastAsia="zh-CN"/>
              </w:rPr>
            </w:pPr>
            <w:r>
              <w:rPr>
                <w:rFonts w:hint="default"/>
                <w:color w:val="auto"/>
                <w:lang w:val="en-US" w:eastAsia="zh-CN"/>
              </w:rPr>
              <w:t>磅</w:t>
            </w:r>
          </w:p>
        </w:tc>
        <w:tc>
          <w:tcPr>
            <w:tcW w:w="699" w:type="pct"/>
            <w:shd w:val="clear" w:color="auto" w:fill="auto"/>
            <w:noWrap/>
            <w:vAlign w:val="center"/>
          </w:tcPr>
          <w:p w14:paraId="46D623F0">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26DA2027">
            <w:pPr>
              <w:bidi w:val="0"/>
              <w:jc w:val="center"/>
              <w:rPr>
                <w:rFonts w:hint="default"/>
                <w:color w:val="auto"/>
                <w:lang w:val="en-US" w:eastAsia="zh-CN"/>
              </w:rPr>
            </w:pPr>
          </w:p>
        </w:tc>
      </w:tr>
      <w:tr w14:paraId="483B0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6F1AD7CF">
            <w:pPr>
              <w:bidi w:val="0"/>
              <w:jc w:val="center"/>
              <w:rPr>
                <w:rFonts w:hint="default"/>
                <w:color w:val="auto"/>
                <w:lang w:val="en-US" w:eastAsia="zh-CN"/>
              </w:rPr>
            </w:pPr>
            <w:r>
              <w:rPr>
                <w:rFonts w:hint="default"/>
                <w:color w:val="auto"/>
                <w:lang w:val="en-US" w:eastAsia="zh-CN"/>
              </w:rPr>
              <w:t>16</w:t>
            </w:r>
          </w:p>
        </w:tc>
        <w:tc>
          <w:tcPr>
            <w:tcW w:w="875" w:type="pct"/>
            <w:vMerge w:val="restart"/>
            <w:shd w:val="clear" w:color="auto" w:fill="auto"/>
            <w:noWrap/>
            <w:vAlign w:val="center"/>
          </w:tcPr>
          <w:p w14:paraId="4253ABE9">
            <w:pPr>
              <w:bidi w:val="0"/>
              <w:jc w:val="center"/>
              <w:rPr>
                <w:rFonts w:hint="default"/>
                <w:color w:val="auto"/>
                <w:lang w:val="en-US" w:eastAsia="zh-CN"/>
              </w:rPr>
            </w:pPr>
            <w:r>
              <w:rPr>
                <w:rFonts w:hint="default"/>
                <w:color w:val="auto"/>
                <w:lang w:val="en-US" w:eastAsia="zh-CN"/>
              </w:rPr>
              <w:t>其他食品</w:t>
            </w:r>
          </w:p>
        </w:tc>
        <w:tc>
          <w:tcPr>
            <w:tcW w:w="1510" w:type="pct"/>
            <w:shd w:val="clear" w:color="auto" w:fill="auto"/>
            <w:vAlign w:val="center"/>
          </w:tcPr>
          <w:p w14:paraId="314AA007">
            <w:pPr>
              <w:bidi w:val="0"/>
              <w:jc w:val="center"/>
              <w:rPr>
                <w:rFonts w:hint="default"/>
                <w:color w:val="auto"/>
                <w:lang w:val="en-US" w:eastAsia="zh-CN"/>
              </w:rPr>
            </w:pPr>
            <w:r>
              <w:rPr>
                <w:rFonts w:hint="default"/>
                <w:color w:val="auto"/>
                <w:lang w:val="en-US" w:eastAsia="zh-CN"/>
              </w:rPr>
              <w:t>方便面</w:t>
            </w:r>
          </w:p>
        </w:tc>
        <w:tc>
          <w:tcPr>
            <w:tcW w:w="745" w:type="pct"/>
            <w:shd w:val="clear" w:color="auto" w:fill="auto"/>
            <w:noWrap/>
            <w:vAlign w:val="center"/>
          </w:tcPr>
          <w:p w14:paraId="633954DD">
            <w:pPr>
              <w:bidi w:val="0"/>
              <w:jc w:val="center"/>
              <w:rPr>
                <w:rFonts w:hint="default"/>
                <w:color w:val="auto"/>
                <w:lang w:val="en-US" w:eastAsia="zh-CN"/>
              </w:rPr>
            </w:pPr>
            <w:r>
              <w:rPr>
                <w:rFonts w:hint="default"/>
                <w:color w:val="auto"/>
                <w:lang w:val="en-US" w:eastAsia="zh-CN"/>
              </w:rPr>
              <w:t>桶</w:t>
            </w:r>
          </w:p>
        </w:tc>
        <w:tc>
          <w:tcPr>
            <w:tcW w:w="699" w:type="pct"/>
            <w:shd w:val="clear" w:color="auto" w:fill="auto"/>
            <w:noWrap/>
            <w:vAlign w:val="center"/>
          </w:tcPr>
          <w:p w14:paraId="14E41B30">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5B3CD30A">
            <w:pPr>
              <w:bidi w:val="0"/>
              <w:jc w:val="center"/>
              <w:rPr>
                <w:rFonts w:hint="default"/>
                <w:color w:val="auto"/>
                <w:lang w:val="en-US" w:eastAsia="zh-CN"/>
              </w:rPr>
            </w:pPr>
          </w:p>
        </w:tc>
      </w:tr>
      <w:tr w14:paraId="24C2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5348961C">
            <w:pPr>
              <w:bidi w:val="0"/>
              <w:jc w:val="center"/>
              <w:rPr>
                <w:rFonts w:hint="default"/>
                <w:color w:val="auto"/>
                <w:lang w:val="en-US" w:eastAsia="zh-CN"/>
              </w:rPr>
            </w:pPr>
            <w:r>
              <w:rPr>
                <w:rFonts w:hint="default"/>
                <w:color w:val="auto"/>
                <w:lang w:val="en-US" w:eastAsia="zh-CN"/>
              </w:rPr>
              <w:t>17</w:t>
            </w:r>
          </w:p>
        </w:tc>
        <w:tc>
          <w:tcPr>
            <w:tcW w:w="875" w:type="pct"/>
            <w:vMerge w:val="continue"/>
            <w:shd w:val="clear" w:color="auto" w:fill="auto"/>
            <w:noWrap/>
            <w:vAlign w:val="center"/>
          </w:tcPr>
          <w:p w14:paraId="328E0FDA">
            <w:pPr>
              <w:bidi w:val="0"/>
              <w:jc w:val="center"/>
              <w:rPr>
                <w:rFonts w:hint="default"/>
                <w:color w:val="auto"/>
                <w:lang w:val="en-US" w:eastAsia="zh-CN"/>
              </w:rPr>
            </w:pPr>
          </w:p>
        </w:tc>
        <w:tc>
          <w:tcPr>
            <w:tcW w:w="1510" w:type="pct"/>
            <w:shd w:val="clear" w:color="auto" w:fill="auto"/>
            <w:vAlign w:val="center"/>
          </w:tcPr>
          <w:p w14:paraId="1C3EB6B4">
            <w:pPr>
              <w:bidi w:val="0"/>
              <w:jc w:val="center"/>
              <w:rPr>
                <w:rFonts w:hint="default"/>
                <w:color w:val="auto"/>
                <w:lang w:val="en-US" w:eastAsia="zh-CN"/>
              </w:rPr>
            </w:pPr>
            <w:r>
              <w:rPr>
                <w:rFonts w:hint="default"/>
                <w:color w:val="auto"/>
                <w:lang w:val="en-US" w:eastAsia="zh-CN"/>
              </w:rPr>
              <w:t>八宝粥</w:t>
            </w:r>
          </w:p>
        </w:tc>
        <w:tc>
          <w:tcPr>
            <w:tcW w:w="745" w:type="pct"/>
            <w:shd w:val="clear" w:color="auto" w:fill="auto"/>
            <w:noWrap/>
            <w:vAlign w:val="center"/>
          </w:tcPr>
          <w:p w14:paraId="41BF812D">
            <w:pPr>
              <w:bidi w:val="0"/>
              <w:jc w:val="center"/>
              <w:rPr>
                <w:rFonts w:hint="default"/>
                <w:color w:val="auto"/>
                <w:lang w:val="en-US" w:eastAsia="zh-CN"/>
              </w:rPr>
            </w:pPr>
            <w:r>
              <w:rPr>
                <w:rFonts w:hint="default"/>
                <w:color w:val="auto"/>
                <w:lang w:val="en-US" w:eastAsia="zh-CN"/>
              </w:rPr>
              <w:t>支</w:t>
            </w:r>
          </w:p>
        </w:tc>
        <w:tc>
          <w:tcPr>
            <w:tcW w:w="699" w:type="pct"/>
            <w:shd w:val="clear" w:color="auto" w:fill="auto"/>
            <w:noWrap/>
            <w:vAlign w:val="center"/>
          </w:tcPr>
          <w:p w14:paraId="6961793C">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4C1455FB">
            <w:pPr>
              <w:bidi w:val="0"/>
              <w:jc w:val="center"/>
              <w:rPr>
                <w:rFonts w:hint="default"/>
                <w:color w:val="auto"/>
                <w:lang w:val="en-US" w:eastAsia="zh-CN"/>
              </w:rPr>
            </w:pPr>
          </w:p>
        </w:tc>
      </w:tr>
      <w:tr w14:paraId="51E5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29A95BB8">
            <w:pPr>
              <w:bidi w:val="0"/>
              <w:jc w:val="center"/>
              <w:rPr>
                <w:rFonts w:hint="default"/>
                <w:color w:val="auto"/>
                <w:lang w:val="en-US" w:eastAsia="zh-CN"/>
              </w:rPr>
            </w:pPr>
            <w:r>
              <w:rPr>
                <w:rFonts w:hint="default"/>
                <w:color w:val="auto"/>
                <w:lang w:val="en-US" w:eastAsia="zh-CN"/>
              </w:rPr>
              <w:t>18</w:t>
            </w:r>
          </w:p>
        </w:tc>
        <w:tc>
          <w:tcPr>
            <w:tcW w:w="875" w:type="pct"/>
            <w:vMerge w:val="continue"/>
            <w:shd w:val="clear" w:color="auto" w:fill="auto"/>
            <w:noWrap/>
            <w:vAlign w:val="center"/>
          </w:tcPr>
          <w:p w14:paraId="1CF361BB">
            <w:pPr>
              <w:bidi w:val="0"/>
              <w:jc w:val="center"/>
              <w:rPr>
                <w:rFonts w:hint="default"/>
                <w:color w:val="auto"/>
                <w:lang w:val="en-US" w:eastAsia="zh-CN"/>
              </w:rPr>
            </w:pPr>
          </w:p>
        </w:tc>
        <w:tc>
          <w:tcPr>
            <w:tcW w:w="1510" w:type="pct"/>
            <w:shd w:val="clear" w:color="auto" w:fill="auto"/>
            <w:vAlign w:val="center"/>
          </w:tcPr>
          <w:p w14:paraId="1BDB2471">
            <w:pPr>
              <w:bidi w:val="0"/>
              <w:jc w:val="center"/>
              <w:rPr>
                <w:rFonts w:hint="default"/>
                <w:color w:val="auto"/>
                <w:lang w:val="en-US" w:eastAsia="zh-CN"/>
              </w:rPr>
            </w:pPr>
            <w:r>
              <w:rPr>
                <w:rFonts w:hint="default"/>
                <w:color w:val="auto"/>
                <w:lang w:val="en-US" w:eastAsia="zh-CN"/>
              </w:rPr>
              <w:t>无淀粉火腿肠</w:t>
            </w:r>
          </w:p>
        </w:tc>
        <w:tc>
          <w:tcPr>
            <w:tcW w:w="745" w:type="pct"/>
            <w:shd w:val="clear" w:color="auto" w:fill="auto"/>
            <w:noWrap/>
            <w:vAlign w:val="center"/>
          </w:tcPr>
          <w:p w14:paraId="7E0EE0DE">
            <w:pPr>
              <w:bidi w:val="0"/>
              <w:jc w:val="center"/>
              <w:rPr>
                <w:rFonts w:hint="default"/>
                <w:color w:val="auto"/>
                <w:lang w:val="en-US" w:eastAsia="zh-CN"/>
              </w:rPr>
            </w:pPr>
            <w:r>
              <w:rPr>
                <w:rFonts w:hint="default"/>
                <w:color w:val="auto"/>
                <w:lang w:val="en-US" w:eastAsia="zh-CN"/>
              </w:rPr>
              <w:t>袋</w:t>
            </w:r>
          </w:p>
        </w:tc>
        <w:tc>
          <w:tcPr>
            <w:tcW w:w="699" w:type="pct"/>
            <w:shd w:val="clear" w:color="auto" w:fill="auto"/>
            <w:noWrap/>
            <w:vAlign w:val="center"/>
          </w:tcPr>
          <w:p w14:paraId="317EF5E7">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78E442FF">
            <w:pPr>
              <w:bidi w:val="0"/>
              <w:jc w:val="center"/>
              <w:rPr>
                <w:rFonts w:hint="default"/>
                <w:color w:val="auto"/>
                <w:lang w:val="en-US" w:eastAsia="zh-CN"/>
              </w:rPr>
            </w:pPr>
          </w:p>
        </w:tc>
      </w:tr>
      <w:tr w14:paraId="2601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661CD3C7">
            <w:pPr>
              <w:bidi w:val="0"/>
              <w:jc w:val="center"/>
              <w:rPr>
                <w:rFonts w:hint="default"/>
                <w:color w:val="auto"/>
                <w:lang w:val="en-US" w:eastAsia="zh-CN"/>
              </w:rPr>
            </w:pPr>
            <w:r>
              <w:rPr>
                <w:rFonts w:hint="default"/>
                <w:color w:val="auto"/>
                <w:lang w:val="en-US" w:eastAsia="zh-CN"/>
              </w:rPr>
              <w:t>19</w:t>
            </w:r>
          </w:p>
        </w:tc>
        <w:tc>
          <w:tcPr>
            <w:tcW w:w="875" w:type="pct"/>
            <w:vMerge w:val="continue"/>
            <w:shd w:val="clear" w:color="auto" w:fill="auto"/>
            <w:noWrap/>
            <w:vAlign w:val="center"/>
          </w:tcPr>
          <w:p w14:paraId="2F841FB0">
            <w:pPr>
              <w:bidi w:val="0"/>
              <w:jc w:val="center"/>
              <w:rPr>
                <w:rFonts w:hint="default"/>
                <w:color w:val="auto"/>
                <w:lang w:val="en-US" w:eastAsia="zh-CN"/>
              </w:rPr>
            </w:pPr>
          </w:p>
        </w:tc>
        <w:tc>
          <w:tcPr>
            <w:tcW w:w="1510" w:type="pct"/>
            <w:shd w:val="clear" w:color="auto" w:fill="auto"/>
            <w:vAlign w:val="center"/>
          </w:tcPr>
          <w:p w14:paraId="0541672B">
            <w:pPr>
              <w:bidi w:val="0"/>
              <w:jc w:val="center"/>
              <w:rPr>
                <w:rFonts w:hint="default"/>
                <w:color w:val="auto"/>
                <w:lang w:val="en-US" w:eastAsia="zh-CN"/>
              </w:rPr>
            </w:pPr>
            <w:r>
              <w:rPr>
                <w:rFonts w:hint="eastAsia"/>
                <w:color w:val="auto"/>
                <w:lang w:val="en-US" w:eastAsia="zh-CN"/>
              </w:rPr>
              <w:t>腐乳</w:t>
            </w:r>
          </w:p>
        </w:tc>
        <w:tc>
          <w:tcPr>
            <w:tcW w:w="745" w:type="pct"/>
            <w:shd w:val="clear" w:color="auto" w:fill="auto"/>
            <w:noWrap/>
            <w:vAlign w:val="center"/>
          </w:tcPr>
          <w:p w14:paraId="27BF01E5">
            <w:pPr>
              <w:bidi w:val="0"/>
              <w:jc w:val="center"/>
              <w:rPr>
                <w:rFonts w:hint="default"/>
                <w:color w:val="auto"/>
                <w:lang w:val="en-US" w:eastAsia="zh-CN"/>
              </w:rPr>
            </w:pPr>
            <w:r>
              <w:rPr>
                <w:rFonts w:hint="default"/>
                <w:color w:val="auto"/>
                <w:lang w:val="en-US" w:eastAsia="zh-CN"/>
              </w:rPr>
              <w:t>罐</w:t>
            </w:r>
          </w:p>
        </w:tc>
        <w:tc>
          <w:tcPr>
            <w:tcW w:w="699" w:type="pct"/>
            <w:shd w:val="clear" w:color="auto" w:fill="auto"/>
            <w:noWrap/>
            <w:vAlign w:val="center"/>
          </w:tcPr>
          <w:p w14:paraId="0DAF2324">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552B3EB0">
            <w:pPr>
              <w:bidi w:val="0"/>
              <w:jc w:val="center"/>
              <w:rPr>
                <w:rFonts w:hint="default"/>
                <w:color w:val="auto"/>
                <w:lang w:val="en-US" w:eastAsia="zh-CN"/>
              </w:rPr>
            </w:pPr>
          </w:p>
        </w:tc>
      </w:tr>
      <w:tr w14:paraId="4F9D1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7E56C2EB">
            <w:pPr>
              <w:bidi w:val="0"/>
              <w:jc w:val="center"/>
              <w:rPr>
                <w:rFonts w:hint="default"/>
                <w:color w:val="auto"/>
                <w:lang w:val="en-US" w:eastAsia="zh-CN"/>
              </w:rPr>
            </w:pPr>
            <w:r>
              <w:rPr>
                <w:rFonts w:hint="default"/>
                <w:color w:val="auto"/>
                <w:lang w:val="en-US" w:eastAsia="zh-CN"/>
              </w:rPr>
              <w:t>20</w:t>
            </w:r>
          </w:p>
        </w:tc>
        <w:tc>
          <w:tcPr>
            <w:tcW w:w="875" w:type="pct"/>
            <w:vMerge w:val="continue"/>
            <w:shd w:val="clear" w:color="auto" w:fill="auto"/>
            <w:noWrap/>
            <w:vAlign w:val="center"/>
          </w:tcPr>
          <w:p w14:paraId="1B671FC4">
            <w:pPr>
              <w:bidi w:val="0"/>
              <w:jc w:val="center"/>
              <w:rPr>
                <w:rFonts w:hint="default"/>
                <w:color w:val="auto"/>
                <w:lang w:val="en-US" w:eastAsia="zh-CN"/>
              </w:rPr>
            </w:pPr>
          </w:p>
        </w:tc>
        <w:tc>
          <w:tcPr>
            <w:tcW w:w="1510" w:type="pct"/>
            <w:shd w:val="clear" w:color="auto" w:fill="auto"/>
            <w:vAlign w:val="center"/>
          </w:tcPr>
          <w:p w14:paraId="3C1BEED1">
            <w:pPr>
              <w:bidi w:val="0"/>
              <w:jc w:val="center"/>
              <w:rPr>
                <w:rFonts w:hint="default"/>
                <w:color w:val="auto"/>
                <w:lang w:val="en-US" w:eastAsia="zh-CN"/>
              </w:rPr>
            </w:pPr>
            <w:r>
              <w:rPr>
                <w:rFonts w:hint="eastAsia"/>
                <w:color w:val="auto"/>
                <w:lang w:val="en-US" w:eastAsia="zh-CN"/>
              </w:rPr>
              <w:t>辣椒酱</w:t>
            </w:r>
          </w:p>
        </w:tc>
        <w:tc>
          <w:tcPr>
            <w:tcW w:w="745" w:type="pct"/>
            <w:shd w:val="clear" w:color="auto" w:fill="auto"/>
            <w:noWrap/>
            <w:vAlign w:val="center"/>
          </w:tcPr>
          <w:p w14:paraId="3B8A2254">
            <w:pPr>
              <w:bidi w:val="0"/>
              <w:jc w:val="center"/>
              <w:rPr>
                <w:rFonts w:hint="default"/>
                <w:color w:val="auto"/>
                <w:lang w:val="en-US" w:eastAsia="zh-CN"/>
              </w:rPr>
            </w:pPr>
            <w:r>
              <w:rPr>
                <w:rFonts w:hint="default"/>
                <w:color w:val="auto"/>
                <w:lang w:val="en-US" w:eastAsia="zh-CN"/>
              </w:rPr>
              <w:t>罐</w:t>
            </w:r>
          </w:p>
        </w:tc>
        <w:tc>
          <w:tcPr>
            <w:tcW w:w="699" w:type="pct"/>
            <w:shd w:val="clear" w:color="auto" w:fill="auto"/>
            <w:noWrap/>
            <w:vAlign w:val="center"/>
          </w:tcPr>
          <w:p w14:paraId="7CC51489">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58CC8E86">
            <w:pPr>
              <w:bidi w:val="0"/>
              <w:jc w:val="center"/>
              <w:rPr>
                <w:rFonts w:hint="default"/>
                <w:color w:val="auto"/>
                <w:lang w:val="en-US" w:eastAsia="zh-CN"/>
              </w:rPr>
            </w:pPr>
          </w:p>
        </w:tc>
      </w:tr>
      <w:tr w14:paraId="0D1F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22DB06C4">
            <w:pPr>
              <w:bidi w:val="0"/>
              <w:jc w:val="center"/>
              <w:rPr>
                <w:rFonts w:hint="default"/>
                <w:color w:val="auto"/>
                <w:lang w:val="en-US" w:eastAsia="zh-CN"/>
              </w:rPr>
            </w:pPr>
            <w:r>
              <w:rPr>
                <w:rFonts w:hint="default"/>
                <w:color w:val="auto"/>
                <w:lang w:val="en-US" w:eastAsia="zh-CN"/>
              </w:rPr>
              <w:t>21</w:t>
            </w:r>
          </w:p>
        </w:tc>
        <w:tc>
          <w:tcPr>
            <w:tcW w:w="875" w:type="pct"/>
            <w:vMerge w:val="continue"/>
            <w:shd w:val="clear" w:color="auto" w:fill="auto"/>
            <w:noWrap/>
            <w:vAlign w:val="center"/>
          </w:tcPr>
          <w:p w14:paraId="68E08A9F">
            <w:pPr>
              <w:bidi w:val="0"/>
              <w:jc w:val="center"/>
              <w:rPr>
                <w:rFonts w:hint="default"/>
                <w:color w:val="auto"/>
                <w:lang w:val="en-US" w:eastAsia="zh-CN"/>
              </w:rPr>
            </w:pPr>
          </w:p>
        </w:tc>
        <w:tc>
          <w:tcPr>
            <w:tcW w:w="1510" w:type="pct"/>
            <w:shd w:val="clear" w:color="auto" w:fill="auto"/>
            <w:vAlign w:val="center"/>
          </w:tcPr>
          <w:p w14:paraId="68C715D2">
            <w:pPr>
              <w:bidi w:val="0"/>
              <w:jc w:val="center"/>
              <w:rPr>
                <w:rFonts w:hint="default"/>
                <w:color w:val="auto"/>
                <w:lang w:val="en-US" w:eastAsia="zh-CN"/>
              </w:rPr>
            </w:pPr>
            <w:r>
              <w:rPr>
                <w:rFonts w:hint="eastAsia"/>
                <w:color w:val="auto"/>
                <w:lang w:val="en-US" w:eastAsia="zh-CN"/>
              </w:rPr>
              <w:t>老干妈</w:t>
            </w:r>
          </w:p>
        </w:tc>
        <w:tc>
          <w:tcPr>
            <w:tcW w:w="745" w:type="pct"/>
            <w:shd w:val="clear" w:color="auto" w:fill="auto"/>
            <w:noWrap/>
            <w:vAlign w:val="center"/>
          </w:tcPr>
          <w:p w14:paraId="2D6B115C">
            <w:pPr>
              <w:bidi w:val="0"/>
              <w:jc w:val="center"/>
              <w:rPr>
                <w:rFonts w:hint="default"/>
                <w:color w:val="auto"/>
                <w:lang w:val="en-US" w:eastAsia="zh-CN"/>
              </w:rPr>
            </w:pPr>
            <w:r>
              <w:rPr>
                <w:rFonts w:hint="default"/>
                <w:color w:val="auto"/>
                <w:lang w:val="en-US" w:eastAsia="zh-CN"/>
              </w:rPr>
              <w:t>罐</w:t>
            </w:r>
          </w:p>
        </w:tc>
        <w:tc>
          <w:tcPr>
            <w:tcW w:w="699" w:type="pct"/>
            <w:shd w:val="clear" w:color="auto" w:fill="auto"/>
            <w:noWrap/>
            <w:vAlign w:val="center"/>
          </w:tcPr>
          <w:p w14:paraId="4391EBF8">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0F39C4F1">
            <w:pPr>
              <w:bidi w:val="0"/>
              <w:jc w:val="center"/>
              <w:rPr>
                <w:rFonts w:hint="default"/>
                <w:color w:val="auto"/>
                <w:lang w:val="en-US" w:eastAsia="zh-CN"/>
              </w:rPr>
            </w:pPr>
          </w:p>
        </w:tc>
      </w:tr>
      <w:tr w14:paraId="0A12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1DA63308">
            <w:pPr>
              <w:bidi w:val="0"/>
              <w:jc w:val="center"/>
              <w:rPr>
                <w:rFonts w:hint="default"/>
                <w:color w:val="auto"/>
                <w:lang w:val="en-US" w:eastAsia="zh-CN"/>
              </w:rPr>
            </w:pPr>
            <w:r>
              <w:rPr>
                <w:rFonts w:hint="default"/>
                <w:color w:val="auto"/>
                <w:lang w:val="en-US" w:eastAsia="zh-CN"/>
              </w:rPr>
              <w:t>22</w:t>
            </w:r>
          </w:p>
        </w:tc>
        <w:tc>
          <w:tcPr>
            <w:tcW w:w="875" w:type="pct"/>
            <w:vMerge w:val="continue"/>
            <w:shd w:val="clear" w:color="auto" w:fill="auto"/>
            <w:noWrap/>
            <w:vAlign w:val="center"/>
          </w:tcPr>
          <w:p w14:paraId="45C0C494">
            <w:pPr>
              <w:bidi w:val="0"/>
              <w:jc w:val="center"/>
              <w:rPr>
                <w:rFonts w:hint="default"/>
                <w:color w:val="auto"/>
                <w:lang w:val="en-US" w:eastAsia="zh-CN"/>
              </w:rPr>
            </w:pPr>
          </w:p>
        </w:tc>
        <w:tc>
          <w:tcPr>
            <w:tcW w:w="1510" w:type="pct"/>
            <w:shd w:val="clear" w:color="auto" w:fill="auto"/>
            <w:vAlign w:val="center"/>
          </w:tcPr>
          <w:p w14:paraId="20584B6C">
            <w:pPr>
              <w:bidi w:val="0"/>
              <w:jc w:val="center"/>
              <w:rPr>
                <w:rFonts w:hint="default"/>
                <w:color w:val="auto"/>
                <w:lang w:val="en-US" w:eastAsia="zh-CN"/>
              </w:rPr>
            </w:pPr>
            <w:r>
              <w:rPr>
                <w:rFonts w:hint="eastAsia"/>
                <w:color w:val="auto"/>
                <w:lang w:val="en-US" w:eastAsia="zh-CN"/>
              </w:rPr>
              <w:t>酱油</w:t>
            </w:r>
          </w:p>
        </w:tc>
        <w:tc>
          <w:tcPr>
            <w:tcW w:w="745" w:type="pct"/>
            <w:shd w:val="clear" w:color="auto" w:fill="auto"/>
            <w:noWrap/>
            <w:vAlign w:val="center"/>
          </w:tcPr>
          <w:p w14:paraId="4424440A">
            <w:pPr>
              <w:bidi w:val="0"/>
              <w:jc w:val="center"/>
              <w:rPr>
                <w:rFonts w:hint="default"/>
                <w:color w:val="auto"/>
                <w:lang w:val="en-US" w:eastAsia="zh-CN"/>
              </w:rPr>
            </w:pPr>
            <w:r>
              <w:rPr>
                <w:rFonts w:hint="default"/>
                <w:color w:val="auto"/>
                <w:lang w:val="en-US" w:eastAsia="zh-CN"/>
              </w:rPr>
              <w:t>罐</w:t>
            </w:r>
          </w:p>
        </w:tc>
        <w:tc>
          <w:tcPr>
            <w:tcW w:w="699" w:type="pct"/>
            <w:shd w:val="clear" w:color="auto" w:fill="auto"/>
            <w:noWrap/>
            <w:vAlign w:val="center"/>
          </w:tcPr>
          <w:p w14:paraId="644413B9">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2FC06F4C">
            <w:pPr>
              <w:bidi w:val="0"/>
              <w:jc w:val="center"/>
              <w:rPr>
                <w:rFonts w:hint="default"/>
                <w:color w:val="auto"/>
                <w:lang w:val="en-US" w:eastAsia="zh-CN"/>
              </w:rPr>
            </w:pPr>
          </w:p>
        </w:tc>
      </w:tr>
      <w:tr w14:paraId="3BE7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17E5DDC0">
            <w:pPr>
              <w:bidi w:val="0"/>
              <w:jc w:val="center"/>
              <w:rPr>
                <w:rFonts w:hint="default"/>
                <w:color w:val="auto"/>
                <w:lang w:val="en-US" w:eastAsia="zh-CN"/>
              </w:rPr>
            </w:pPr>
            <w:r>
              <w:rPr>
                <w:rFonts w:hint="default"/>
                <w:color w:val="auto"/>
                <w:lang w:val="en-US" w:eastAsia="zh-CN"/>
              </w:rPr>
              <w:t>23</w:t>
            </w:r>
          </w:p>
        </w:tc>
        <w:tc>
          <w:tcPr>
            <w:tcW w:w="875" w:type="pct"/>
            <w:vMerge w:val="continue"/>
            <w:shd w:val="clear" w:color="auto" w:fill="auto"/>
            <w:noWrap/>
            <w:vAlign w:val="center"/>
          </w:tcPr>
          <w:p w14:paraId="3B4E9F72">
            <w:pPr>
              <w:bidi w:val="0"/>
              <w:jc w:val="center"/>
              <w:rPr>
                <w:rFonts w:hint="default"/>
                <w:color w:val="auto"/>
                <w:lang w:val="en-US" w:eastAsia="zh-CN"/>
              </w:rPr>
            </w:pPr>
          </w:p>
        </w:tc>
        <w:tc>
          <w:tcPr>
            <w:tcW w:w="1510" w:type="pct"/>
            <w:shd w:val="clear" w:color="auto" w:fill="auto"/>
            <w:vAlign w:val="center"/>
          </w:tcPr>
          <w:p w14:paraId="16CB2DF6">
            <w:pPr>
              <w:bidi w:val="0"/>
              <w:jc w:val="center"/>
              <w:rPr>
                <w:rFonts w:hint="default"/>
                <w:color w:val="auto"/>
                <w:lang w:val="en-US" w:eastAsia="zh-CN"/>
              </w:rPr>
            </w:pPr>
            <w:r>
              <w:rPr>
                <w:rFonts w:hint="eastAsia"/>
                <w:color w:val="auto"/>
                <w:lang w:val="en-US" w:eastAsia="zh-CN"/>
              </w:rPr>
              <w:t>花生</w:t>
            </w:r>
          </w:p>
        </w:tc>
        <w:tc>
          <w:tcPr>
            <w:tcW w:w="745" w:type="pct"/>
            <w:shd w:val="clear" w:color="auto" w:fill="auto"/>
            <w:noWrap/>
            <w:vAlign w:val="center"/>
          </w:tcPr>
          <w:p w14:paraId="47ED0D2F">
            <w:pPr>
              <w:bidi w:val="0"/>
              <w:jc w:val="center"/>
              <w:rPr>
                <w:rFonts w:hint="default"/>
                <w:color w:val="auto"/>
                <w:lang w:val="en-US" w:eastAsia="zh-CN"/>
              </w:rPr>
            </w:pPr>
            <w:r>
              <w:rPr>
                <w:rFonts w:hint="eastAsia"/>
                <w:color w:val="auto"/>
                <w:lang w:val="en-US" w:eastAsia="zh-CN"/>
              </w:rPr>
              <w:t>斤</w:t>
            </w:r>
          </w:p>
        </w:tc>
        <w:tc>
          <w:tcPr>
            <w:tcW w:w="699" w:type="pct"/>
            <w:shd w:val="clear" w:color="auto" w:fill="auto"/>
            <w:noWrap/>
            <w:vAlign w:val="center"/>
          </w:tcPr>
          <w:p w14:paraId="53EC2050">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2BAE3013">
            <w:pPr>
              <w:bidi w:val="0"/>
              <w:jc w:val="center"/>
              <w:rPr>
                <w:rFonts w:hint="default"/>
                <w:color w:val="auto"/>
                <w:lang w:val="en-US" w:eastAsia="zh-CN"/>
              </w:rPr>
            </w:pPr>
          </w:p>
        </w:tc>
      </w:tr>
      <w:tr w14:paraId="5E7B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06C436C0">
            <w:pPr>
              <w:bidi w:val="0"/>
              <w:jc w:val="center"/>
              <w:rPr>
                <w:rFonts w:hint="default"/>
                <w:color w:val="auto"/>
                <w:lang w:val="en-US" w:eastAsia="zh-CN"/>
              </w:rPr>
            </w:pPr>
            <w:r>
              <w:rPr>
                <w:rFonts w:hint="default"/>
                <w:color w:val="auto"/>
                <w:lang w:val="en-US" w:eastAsia="zh-CN"/>
              </w:rPr>
              <w:t>24</w:t>
            </w:r>
          </w:p>
        </w:tc>
        <w:tc>
          <w:tcPr>
            <w:tcW w:w="875" w:type="pct"/>
            <w:vMerge w:val="continue"/>
            <w:shd w:val="clear" w:color="auto" w:fill="auto"/>
            <w:noWrap/>
            <w:vAlign w:val="center"/>
          </w:tcPr>
          <w:p w14:paraId="19B4345F">
            <w:pPr>
              <w:bidi w:val="0"/>
              <w:jc w:val="center"/>
              <w:rPr>
                <w:rFonts w:hint="default"/>
                <w:color w:val="auto"/>
                <w:lang w:val="en-US" w:eastAsia="zh-CN"/>
              </w:rPr>
            </w:pPr>
          </w:p>
        </w:tc>
        <w:tc>
          <w:tcPr>
            <w:tcW w:w="1510" w:type="pct"/>
            <w:shd w:val="clear" w:color="auto" w:fill="auto"/>
            <w:vAlign w:val="center"/>
          </w:tcPr>
          <w:p w14:paraId="5B243D81">
            <w:pPr>
              <w:bidi w:val="0"/>
              <w:jc w:val="center"/>
              <w:rPr>
                <w:rFonts w:hint="default"/>
                <w:color w:val="auto"/>
                <w:lang w:val="en-US" w:eastAsia="zh-CN"/>
              </w:rPr>
            </w:pPr>
            <w:r>
              <w:rPr>
                <w:rFonts w:hint="eastAsia"/>
                <w:color w:val="auto"/>
                <w:lang w:val="en-US" w:eastAsia="zh-CN"/>
              </w:rPr>
              <w:t>榨菜</w:t>
            </w:r>
          </w:p>
        </w:tc>
        <w:tc>
          <w:tcPr>
            <w:tcW w:w="745" w:type="pct"/>
            <w:shd w:val="clear" w:color="auto" w:fill="auto"/>
            <w:noWrap/>
            <w:vAlign w:val="center"/>
          </w:tcPr>
          <w:p w14:paraId="4E207D79">
            <w:pPr>
              <w:bidi w:val="0"/>
              <w:jc w:val="center"/>
              <w:rPr>
                <w:rFonts w:hint="default"/>
                <w:color w:val="auto"/>
                <w:lang w:val="en-US" w:eastAsia="zh-CN"/>
              </w:rPr>
            </w:pPr>
            <w:r>
              <w:rPr>
                <w:rFonts w:hint="eastAsia"/>
                <w:color w:val="auto"/>
                <w:lang w:val="en-US" w:eastAsia="zh-CN"/>
              </w:rPr>
              <w:t>包</w:t>
            </w:r>
          </w:p>
        </w:tc>
        <w:tc>
          <w:tcPr>
            <w:tcW w:w="699" w:type="pct"/>
            <w:shd w:val="clear" w:color="auto" w:fill="auto"/>
            <w:noWrap/>
            <w:vAlign w:val="center"/>
          </w:tcPr>
          <w:p w14:paraId="445204F7">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6C418F7E">
            <w:pPr>
              <w:bidi w:val="0"/>
              <w:jc w:val="center"/>
              <w:rPr>
                <w:rFonts w:hint="default"/>
                <w:color w:val="auto"/>
                <w:lang w:val="en-US" w:eastAsia="zh-CN"/>
              </w:rPr>
            </w:pPr>
          </w:p>
        </w:tc>
      </w:tr>
      <w:tr w14:paraId="3D6AA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14D2EC2F">
            <w:pPr>
              <w:bidi w:val="0"/>
              <w:jc w:val="center"/>
              <w:rPr>
                <w:rFonts w:hint="default"/>
                <w:color w:val="auto"/>
                <w:lang w:val="en-US" w:eastAsia="zh-CN"/>
              </w:rPr>
            </w:pPr>
            <w:r>
              <w:rPr>
                <w:rFonts w:hint="default"/>
                <w:color w:val="auto"/>
                <w:lang w:val="en-US" w:eastAsia="zh-CN"/>
              </w:rPr>
              <w:t>25</w:t>
            </w:r>
          </w:p>
        </w:tc>
        <w:tc>
          <w:tcPr>
            <w:tcW w:w="875" w:type="pct"/>
            <w:vMerge w:val="continue"/>
            <w:shd w:val="clear" w:color="auto" w:fill="auto"/>
            <w:noWrap/>
            <w:vAlign w:val="center"/>
          </w:tcPr>
          <w:p w14:paraId="7DA8081A">
            <w:pPr>
              <w:bidi w:val="0"/>
              <w:jc w:val="center"/>
              <w:rPr>
                <w:rFonts w:hint="default"/>
                <w:color w:val="auto"/>
                <w:lang w:val="en-US" w:eastAsia="zh-CN"/>
              </w:rPr>
            </w:pPr>
          </w:p>
        </w:tc>
        <w:tc>
          <w:tcPr>
            <w:tcW w:w="1510" w:type="pct"/>
            <w:shd w:val="clear" w:color="auto" w:fill="auto"/>
            <w:vAlign w:val="center"/>
          </w:tcPr>
          <w:p w14:paraId="7EB5062C">
            <w:pPr>
              <w:bidi w:val="0"/>
              <w:jc w:val="center"/>
              <w:rPr>
                <w:rFonts w:hint="default"/>
                <w:color w:val="auto"/>
                <w:lang w:val="en-US" w:eastAsia="zh-CN"/>
              </w:rPr>
            </w:pPr>
            <w:r>
              <w:rPr>
                <w:rFonts w:hint="eastAsia"/>
                <w:color w:val="auto"/>
                <w:lang w:val="en-US" w:eastAsia="zh-CN"/>
              </w:rPr>
              <w:t>罐头</w:t>
            </w:r>
          </w:p>
        </w:tc>
        <w:tc>
          <w:tcPr>
            <w:tcW w:w="745" w:type="pct"/>
            <w:shd w:val="clear" w:color="auto" w:fill="auto"/>
            <w:noWrap/>
            <w:vAlign w:val="center"/>
          </w:tcPr>
          <w:p w14:paraId="1C5FE766">
            <w:pPr>
              <w:bidi w:val="0"/>
              <w:jc w:val="center"/>
              <w:rPr>
                <w:rFonts w:hint="default"/>
                <w:color w:val="auto"/>
                <w:lang w:val="en-US" w:eastAsia="zh-CN"/>
              </w:rPr>
            </w:pPr>
            <w:r>
              <w:rPr>
                <w:rFonts w:hint="eastAsia"/>
                <w:color w:val="auto"/>
                <w:lang w:val="en-US" w:eastAsia="zh-CN"/>
              </w:rPr>
              <w:t>罐</w:t>
            </w:r>
          </w:p>
        </w:tc>
        <w:tc>
          <w:tcPr>
            <w:tcW w:w="699" w:type="pct"/>
            <w:shd w:val="clear" w:color="auto" w:fill="auto"/>
            <w:noWrap/>
            <w:vAlign w:val="center"/>
          </w:tcPr>
          <w:p w14:paraId="77736AAC">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2338BE75">
            <w:pPr>
              <w:bidi w:val="0"/>
              <w:jc w:val="center"/>
              <w:rPr>
                <w:rFonts w:hint="default"/>
                <w:color w:val="auto"/>
                <w:lang w:val="en-US" w:eastAsia="zh-CN"/>
              </w:rPr>
            </w:pPr>
          </w:p>
        </w:tc>
      </w:tr>
      <w:tr w14:paraId="128F0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5823E782">
            <w:pPr>
              <w:bidi w:val="0"/>
              <w:jc w:val="center"/>
              <w:rPr>
                <w:rFonts w:hint="default"/>
                <w:color w:val="auto"/>
                <w:lang w:val="en-US" w:eastAsia="zh-CN"/>
              </w:rPr>
            </w:pPr>
            <w:r>
              <w:rPr>
                <w:rFonts w:hint="default"/>
                <w:color w:val="auto"/>
                <w:lang w:val="en-US" w:eastAsia="zh-CN"/>
              </w:rPr>
              <w:t>28</w:t>
            </w:r>
          </w:p>
        </w:tc>
        <w:tc>
          <w:tcPr>
            <w:tcW w:w="875" w:type="pct"/>
            <w:vMerge w:val="restart"/>
            <w:shd w:val="clear" w:color="auto" w:fill="auto"/>
            <w:noWrap/>
            <w:vAlign w:val="center"/>
          </w:tcPr>
          <w:p w14:paraId="4BB6D132">
            <w:pPr>
              <w:bidi w:val="0"/>
              <w:jc w:val="center"/>
              <w:rPr>
                <w:rFonts w:hint="default"/>
                <w:color w:val="auto"/>
                <w:lang w:val="en-US" w:eastAsia="zh-CN"/>
              </w:rPr>
            </w:pPr>
            <w:r>
              <w:rPr>
                <w:rFonts w:hint="default"/>
                <w:color w:val="auto"/>
                <w:lang w:val="en-US" w:eastAsia="zh-CN"/>
              </w:rPr>
              <w:t>水果</w:t>
            </w:r>
          </w:p>
        </w:tc>
        <w:tc>
          <w:tcPr>
            <w:tcW w:w="1510" w:type="pct"/>
            <w:shd w:val="clear" w:color="auto" w:fill="auto"/>
            <w:vAlign w:val="center"/>
          </w:tcPr>
          <w:p w14:paraId="64CC2425">
            <w:pPr>
              <w:bidi w:val="0"/>
              <w:jc w:val="center"/>
              <w:rPr>
                <w:rFonts w:hint="default"/>
                <w:color w:val="auto"/>
                <w:lang w:val="en-US" w:eastAsia="zh-CN"/>
              </w:rPr>
            </w:pPr>
            <w:r>
              <w:rPr>
                <w:rFonts w:hint="default"/>
                <w:color w:val="auto"/>
                <w:lang w:val="en-US" w:eastAsia="zh-CN"/>
              </w:rPr>
              <w:t>奶蕉</w:t>
            </w:r>
          </w:p>
        </w:tc>
        <w:tc>
          <w:tcPr>
            <w:tcW w:w="745" w:type="pct"/>
            <w:shd w:val="clear" w:color="auto" w:fill="auto"/>
            <w:noWrap/>
            <w:vAlign w:val="center"/>
          </w:tcPr>
          <w:p w14:paraId="6B032D68">
            <w:pPr>
              <w:bidi w:val="0"/>
              <w:jc w:val="center"/>
              <w:rPr>
                <w:rFonts w:hint="default"/>
                <w:color w:val="auto"/>
                <w:lang w:val="en-US" w:eastAsia="zh-CN"/>
              </w:rPr>
            </w:pPr>
            <w:r>
              <w:rPr>
                <w:rFonts w:hint="default"/>
                <w:color w:val="auto"/>
                <w:lang w:val="en-US" w:eastAsia="zh-CN"/>
              </w:rPr>
              <w:t>斤</w:t>
            </w:r>
          </w:p>
        </w:tc>
        <w:tc>
          <w:tcPr>
            <w:tcW w:w="699" w:type="pct"/>
            <w:shd w:val="clear" w:color="auto" w:fill="auto"/>
            <w:noWrap/>
            <w:vAlign w:val="center"/>
          </w:tcPr>
          <w:p w14:paraId="0EB2D3A4">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73D3E2AE">
            <w:pPr>
              <w:bidi w:val="0"/>
              <w:jc w:val="center"/>
              <w:rPr>
                <w:rFonts w:hint="default"/>
                <w:color w:val="auto"/>
                <w:lang w:val="en-US" w:eastAsia="zh-CN"/>
              </w:rPr>
            </w:pPr>
          </w:p>
        </w:tc>
      </w:tr>
      <w:tr w14:paraId="602D6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683308E0">
            <w:pPr>
              <w:bidi w:val="0"/>
              <w:jc w:val="center"/>
              <w:rPr>
                <w:rFonts w:hint="default"/>
                <w:color w:val="auto"/>
                <w:lang w:val="en-US" w:eastAsia="zh-CN"/>
              </w:rPr>
            </w:pPr>
            <w:r>
              <w:rPr>
                <w:rFonts w:hint="default"/>
                <w:color w:val="auto"/>
                <w:lang w:val="en-US" w:eastAsia="zh-CN"/>
              </w:rPr>
              <w:t>29</w:t>
            </w:r>
          </w:p>
        </w:tc>
        <w:tc>
          <w:tcPr>
            <w:tcW w:w="875" w:type="pct"/>
            <w:vMerge w:val="continue"/>
            <w:shd w:val="clear" w:color="auto" w:fill="auto"/>
            <w:noWrap/>
            <w:vAlign w:val="center"/>
          </w:tcPr>
          <w:p w14:paraId="35D1D2AC">
            <w:pPr>
              <w:bidi w:val="0"/>
              <w:jc w:val="center"/>
              <w:rPr>
                <w:rFonts w:hint="default"/>
                <w:color w:val="auto"/>
                <w:lang w:val="en-US" w:eastAsia="zh-CN"/>
              </w:rPr>
            </w:pPr>
          </w:p>
        </w:tc>
        <w:tc>
          <w:tcPr>
            <w:tcW w:w="1510" w:type="pct"/>
            <w:shd w:val="clear" w:color="auto" w:fill="auto"/>
            <w:vAlign w:val="center"/>
          </w:tcPr>
          <w:p w14:paraId="11792502">
            <w:pPr>
              <w:bidi w:val="0"/>
              <w:jc w:val="center"/>
              <w:rPr>
                <w:rFonts w:hint="default"/>
                <w:color w:val="auto"/>
                <w:lang w:val="en-US" w:eastAsia="zh-CN"/>
              </w:rPr>
            </w:pPr>
            <w:r>
              <w:rPr>
                <w:rFonts w:hint="default"/>
                <w:color w:val="auto"/>
                <w:lang w:val="en-US" w:eastAsia="zh-CN"/>
              </w:rPr>
              <w:t>粑粑柑</w:t>
            </w:r>
          </w:p>
        </w:tc>
        <w:tc>
          <w:tcPr>
            <w:tcW w:w="745" w:type="pct"/>
            <w:shd w:val="clear" w:color="auto" w:fill="auto"/>
            <w:noWrap/>
            <w:vAlign w:val="center"/>
          </w:tcPr>
          <w:p w14:paraId="716E7663">
            <w:pPr>
              <w:bidi w:val="0"/>
              <w:jc w:val="center"/>
              <w:rPr>
                <w:rFonts w:hint="default"/>
                <w:color w:val="auto"/>
                <w:lang w:val="en-US" w:eastAsia="zh-CN"/>
              </w:rPr>
            </w:pPr>
            <w:r>
              <w:rPr>
                <w:rFonts w:hint="default"/>
                <w:color w:val="auto"/>
                <w:lang w:val="en-US" w:eastAsia="zh-CN"/>
              </w:rPr>
              <w:t>斤</w:t>
            </w:r>
          </w:p>
        </w:tc>
        <w:tc>
          <w:tcPr>
            <w:tcW w:w="699" w:type="pct"/>
            <w:shd w:val="clear" w:color="auto" w:fill="auto"/>
            <w:noWrap/>
            <w:vAlign w:val="center"/>
          </w:tcPr>
          <w:p w14:paraId="24D7FDDE">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47337937">
            <w:pPr>
              <w:bidi w:val="0"/>
              <w:jc w:val="center"/>
              <w:rPr>
                <w:rFonts w:hint="default"/>
                <w:color w:val="auto"/>
                <w:lang w:val="en-US" w:eastAsia="zh-CN"/>
              </w:rPr>
            </w:pPr>
          </w:p>
        </w:tc>
      </w:tr>
      <w:tr w14:paraId="749C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15491CF6">
            <w:pPr>
              <w:bidi w:val="0"/>
              <w:jc w:val="center"/>
              <w:rPr>
                <w:rFonts w:hint="default"/>
                <w:color w:val="auto"/>
                <w:lang w:val="en-US" w:eastAsia="zh-CN"/>
              </w:rPr>
            </w:pPr>
            <w:r>
              <w:rPr>
                <w:rFonts w:hint="default"/>
                <w:color w:val="auto"/>
                <w:lang w:val="en-US" w:eastAsia="zh-CN"/>
              </w:rPr>
              <w:t>30</w:t>
            </w:r>
          </w:p>
        </w:tc>
        <w:tc>
          <w:tcPr>
            <w:tcW w:w="875" w:type="pct"/>
            <w:vMerge w:val="continue"/>
            <w:shd w:val="clear" w:color="auto" w:fill="auto"/>
            <w:noWrap/>
            <w:vAlign w:val="center"/>
          </w:tcPr>
          <w:p w14:paraId="4BD04E9A">
            <w:pPr>
              <w:bidi w:val="0"/>
              <w:jc w:val="center"/>
              <w:rPr>
                <w:rFonts w:hint="default"/>
                <w:color w:val="auto"/>
                <w:lang w:val="en-US" w:eastAsia="zh-CN"/>
              </w:rPr>
            </w:pPr>
          </w:p>
        </w:tc>
        <w:tc>
          <w:tcPr>
            <w:tcW w:w="1510" w:type="pct"/>
            <w:shd w:val="clear" w:color="auto" w:fill="auto"/>
            <w:vAlign w:val="center"/>
          </w:tcPr>
          <w:p w14:paraId="605DF40B">
            <w:pPr>
              <w:bidi w:val="0"/>
              <w:jc w:val="center"/>
              <w:rPr>
                <w:rFonts w:hint="default"/>
                <w:color w:val="auto"/>
                <w:lang w:val="en-US" w:eastAsia="zh-CN"/>
              </w:rPr>
            </w:pPr>
            <w:r>
              <w:rPr>
                <w:rFonts w:hint="default"/>
                <w:color w:val="auto"/>
                <w:lang w:val="en-US" w:eastAsia="zh-CN"/>
              </w:rPr>
              <w:t>砂糖橘</w:t>
            </w:r>
          </w:p>
        </w:tc>
        <w:tc>
          <w:tcPr>
            <w:tcW w:w="745" w:type="pct"/>
            <w:shd w:val="clear" w:color="auto" w:fill="auto"/>
            <w:noWrap/>
            <w:vAlign w:val="center"/>
          </w:tcPr>
          <w:p w14:paraId="20925514">
            <w:pPr>
              <w:bidi w:val="0"/>
              <w:jc w:val="center"/>
              <w:rPr>
                <w:rFonts w:hint="default"/>
                <w:color w:val="auto"/>
                <w:lang w:val="en-US" w:eastAsia="zh-CN"/>
              </w:rPr>
            </w:pPr>
            <w:r>
              <w:rPr>
                <w:rFonts w:hint="default"/>
                <w:color w:val="auto"/>
                <w:lang w:val="en-US" w:eastAsia="zh-CN"/>
              </w:rPr>
              <w:t>斤</w:t>
            </w:r>
          </w:p>
        </w:tc>
        <w:tc>
          <w:tcPr>
            <w:tcW w:w="699" w:type="pct"/>
            <w:shd w:val="clear" w:color="auto" w:fill="auto"/>
            <w:noWrap/>
            <w:vAlign w:val="center"/>
          </w:tcPr>
          <w:p w14:paraId="12723869">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22C3A120">
            <w:pPr>
              <w:bidi w:val="0"/>
              <w:jc w:val="center"/>
              <w:rPr>
                <w:rFonts w:hint="default"/>
                <w:color w:val="auto"/>
                <w:lang w:val="en-US" w:eastAsia="zh-CN"/>
              </w:rPr>
            </w:pPr>
          </w:p>
        </w:tc>
      </w:tr>
      <w:tr w14:paraId="055BA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noWrap/>
            <w:vAlign w:val="center"/>
          </w:tcPr>
          <w:p w14:paraId="10143B79">
            <w:pPr>
              <w:bidi w:val="0"/>
              <w:jc w:val="center"/>
              <w:rPr>
                <w:rFonts w:hint="default"/>
                <w:color w:val="auto"/>
                <w:lang w:val="en-US" w:eastAsia="zh-CN"/>
              </w:rPr>
            </w:pPr>
            <w:r>
              <w:rPr>
                <w:rFonts w:hint="default"/>
                <w:color w:val="auto"/>
                <w:lang w:val="en-US" w:eastAsia="zh-CN"/>
              </w:rPr>
              <w:t>31</w:t>
            </w:r>
          </w:p>
        </w:tc>
        <w:tc>
          <w:tcPr>
            <w:tcW w:w="875" w:type="pct"/>
            <w:vMerge w:val="continue"/>
            <w:shd w:val="clear" w:color="auto" w:fill="auto"/>
            <w:noWrap/>
            <w:vAlign w:val="center"/>
          </w:tcPr>
          <w:p w14:paraId="34196896">
            <w:pPr>
              <w:bidi w:val="0"/>
              <w:jc w:val="center"/>
              <w:rPr>
                <w:rFonts w:hint="default"/>
                <w:color w:val="auto"/>
                <w:lang w:val="en-US" w:eastAsia="zh-CN"/>
              </w:rPr>
            </w:pPr>
          </w:p>
        </w:tc>
        <w:tc>
          <w:tcPr>
            <w:tcW w:w="1510" w:type="pct"/>
            <w:shd w:val="clear" w:color="auto" w:fill="auto"/>
            <w:vAlign w:val="center"/>
          </w:tcPr>
          <w:p w14:paraId="5247EF3D">
            <w:pPr>
              <w:bidi w:val="0"/>
              <w:jc w:val="center"/>
              <w:rPr>
                <w:rFonts w:hint="default"/>
                <w:color w:val="auto"/>
                <w:lang w:val="en-US" w:eastAsia="zh-CN"/>
              </w:rPr>
            </w:pPr>
            <w:r>
              <w:rPr>
                <w:rFonts w:hint="default"/>
                <w:color w:val="auto"/>
                <w:lang w:val="en-US" w:eastAsia="zh-CN"/>
              </w:rPr>
              <w:t>苹果</w:t>
            </w:r>
          </w:p>
        </w:tc>
        <w:tc>
          <w:tcPr>
            <w:tcW w:w="745" w:type="pct"/>
            <w:shd w:val="clear" w:color="auto" w:fill="auto"/>
            <w:noWrap/>
            <w:vAlign w:val="center"/>
          </w:tcPr>
          <w:p w14:paraId="20F6E5AD">
            <w:pPr>
              <w:bidi w:val="0"/>
              <w:jc w:val="center"/>
              <w:rPr>
                <w:rFonts w:hint="default"/>
                <w:color w:val="auto"/>
                <w:lang w:val="en-US" w:eastAsia="zh-CN"/>
              </w:rPr>
            </w:pPr>
            <w:r>
              <w:rPr>
                <w:rFonts w:hint="default"/>
                <w:color w:val="auto"/>
                <w:lang w:val="en-US" w:eastAsia="zh-CN"/>
              </w:rPr>
              <w:t>斤</w:t>
            </w:r>
          </w:p>
        </w:tc>
        <w:tc>
          <w:tcPr>
            <w:tcW w:w="699" w:type="pct"/>
            <w:shd w:val="clear" w:color="auto" w:fill="auto"/>
            <w:noWrap/>
            <w:vAlign w:val="center"/>
          </w:tcPr>
          <w:p w14:paraId="143E19BD">
            <w:pPr>
              <w:bidi w:val="0"/>
              <w:jc w:val="center"/>
              <w:rPr>
                <w:rFonts w:hint="default"/>
                <w:color w:val="auto"/>
                <w:lang w:val="en-US" w:eastAsia="zh-CN"/>
              </w:rPr>
            </w:pPr>
            <w:r>
              <w:rPr>
                <w:rFonts w:hint="default"/>
                <w:color w:val="auto"/>
                <w:lang w:val="en-US" w:eastAsia="zh-CN"/>
              </w:rPr>
              <w:t>1</w:t>
            </w:r>
          </w:p>
        </w:tc>
        <w:tc>
          <w:tcPr>
            <w:tcW w:w="827" w:type="pct"/>
            <w:shd w:val="clear" w:color="auto" w:fill="auto"/>
            <w:noWrap/>
            <w:vAlign w:val="center"/>
          </w:tcPr>
          <w:p w14:paraId="14881EDD">
            <w:pPr>
              <w:bidi w:val="0"/>
              <w:jc w:val="center"/>
              <w:rPr>
                <w:rFonts w:hint="default"/>
                <w:color w:val="auto"/>
                <w:lang w:val="en-US" w:eastAsia="zh-CN"/>
              </w:rPr>
            </w:pPr>
          </w:p>
        </w:tc>
      </w:tr>
      <w:tr w14:paraId="0C613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vAlign w:val="center"/>
          </w:tcPr>
          <w:p w14:paraId="1EF373EB">
            <w:pPr>
              <w:bidi w:val="0"/>
              <w:jc w:val="center"/>
              <w:rPr>
                <w:rFonts w:hint="default"/>
                <w:color w:val="auto"/>
                <w:lang w:val="en-US" w:eastAsia="zh-CN"/>
              </w:rPr>
            </w:pPr>
            <w:bookmarkStart w:id="29" w:name="_Toc316913533"/>
            <w:bookmarkEnd w:id="29"/>
            <w:r>
              <w:rPr>
                <w:rFonts w:hint="default"/>
                <w:color w:val="auto"/>
                <w:lang w:val="en-US" w:eastAsia="zh-CN"/>
              </w:rPr>
              <w:t>32</w:t>
            </w:r>
          </w:p>
        </w:tc>
        <w:tc>
          <w:tcPr>
            <w:tcW w:w="875" w:type="pct"/>
            <w:vMerge w:val="continue"/>
            <w:shd w:val="clear" w:color="auto" w:fill="auto"/>
          </w:tcPr>
          <w:p w14:paraId="33A8555E">
            <w:pPr>
              <w:bidi w:val="0"/>
              <w:jc w:val="center"/>
              <w:rPr>
                <w:rFonts w:hint="default"/>
                <w:color w:val="auto"/>
                <w:lang w:val="en-US" w:eastAsia="zh-CN"/>
              </w:rPr>
            </w:pPr>
          </w:p>
        </w:tc>
        <w:tc>
          <w:tcPr>
            <w:tcW w:w="1510" w:type="pct"/>
            <w:shd w:val="clear" w:color="auto" w:fill="auto"/>
            <w:vAlign w:val="center"/>
          </w:tcPr>
          <w:p w14:paraId="139B32F7">
            <w:pPr>
              <w:bidi w:val="0"/>
              <w:jc w:val="center"/>
              <w:rPr>
                <w:rFonts w:hint="default"/>
                <w:color w:val="auto"/>
                <w:lang w:val="en-US" w:eastAsia="zh-CN"/>
              </w:rPr>
            </w:pPr>
            <w:r>
              <w:rPr>
                <w:rFonts w:hint="default"/>
                <w:color w:val="auto"/>
                <w:lang w:val="en-US" w:eastAsia="zh-CN"/>
              </w:rPr>
              <w:t>香梨</w:t>
            </w:r>
          </w:p>
        </w:tc>
        <w:tc>
          <w:tcPr>
            <w:tcW w:w="745" w:type="pct"/>
            <w:shd w:val="clear" w:color="auto" w:fill="auto"/>
            <w:vAlign w:val="center"/>
          </w:tcPr>
          <w:p w14:paraId="25679F4C">
            <w:pPr>
              <w:bidi w:val="0"/>
              <w:jc w:val="center"/>
              <w:rPr>
                <w:rFonts w:hint="default"/>
                <w:color w:val="auto"/>
                <w:lang w:val="en-US" w:eastAsia="zh-CN"/>
              </w:rPr>
            </w:pPr>
            <w:r>
              <w:rPr>
                <w:rFonts w:hint="default"/>
                <w:color w:val="auto"/>
                <w:lang w:val="en-US" w:eastAsia="zh-CN"/>
              </w:rPr>
              <w:t>斤</w:t>
            </w:r>
          </w:p>
        </w:tc>
        <w:tc>
          <w:tcPr>
            <w:tcW w:w="699" w:type="pct"/>
            <w:shd w:val="clear" w:color="auto" w:fill="auto"/>
            <w:vAlign w:val="center"/>
          </w:tcPr>
          <w:p w14:paraId="677F9934">
            <w:pPr>
              <w:bidi w:val="0"/>
              <w:jc w:val="center"/>
              <w:rPr>
                <w:rFonts w:hint="default"/>
                <w:color w:val="auto"/>
                <w:lang w:val="en-US" w:eastAsia="zh-CN"/>
              </w:rPr>
            </w:pPr>
            <w:r>
              <w:rPr>
                <w:rFonts w:hint="default"/>
                <w:color w:val="auto"/>
                <w:lang w:val="en-US" w:eastAsia="zh-CN"/>
              </w:rPr>
              <w:t>1</w:t>
            </w:r>
          </w:p>
        </w:tc>
        <w:tc>
          <w:tcPr>
            <w:tcW w:w="827" w:type="pct"/>
            <w:shd w:val="clear" w:color="auto" w:fill="auto"/>
            <w:vAlign w:val="center"/>
          </w:tcPr>
          <w:p w14:paraId="73AB37BB">
            <w:pPr>
              <w:bidi w:val="0"/>
              <w:jc w:val="center"/>
              <w:rPr>
                <w:rFonts w:hint="default"/>
                <w:color w:val="auto"/>
                <w:lang w:val="en-US" w:eastAsia="zh-CN"/>
              </w:rPr>
            </w:pPr>
          </w:p>
        </w:tc>
      </w:tr>
      <w:tr w14:paraId="13A8C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vAlign w:val="center"/>
          </w:tcPr>
          <w:p w14:paraId="1B7B1F32">
            <w:pPr>
              <w:bidi w:val="0"/>
              <w:jc w:val="center"/>
              <w:rPr>
                <w:rFonts w:hint="default"/>
                <w:color w:val="auto"/>
                <w:lang w:val="en-US" w:eastAsia="zh-CN"/>
              </w:rPr>
            </w:pPr>
            <w:r>
              <w:rPr>
                <w:rFonts w:hint="default"/>
                <w:color w:val="auto"/>
                <w:lang w:val="en-US" w:eastAsia="zh-CN"/>
              </w:rPr>
              <w:t>33</w:t>
            </w:r>
          </w:p>
        </w:tc>
        <w:tc>
          <w:tcPr>
            <w:tcW w:w="875" w:type="pct"/>
            <w:vMerge w:val="continue"/>
            <w:shd w:val="clear" w:color="auto" w:fill="auto"/>
          </w:tcPr>
          <w:p w14:paraId="2D747DC4">
            <w:pPr>
              <w:bidi w:val="0"/>
              <w:jc w:val="center"/>
              <w:rPr>
                <w:rFonts w:hint="default"/>
                <w:color w:val="auto"/>
                <w:lang w:val="en-US" w:eastAsia="zh-CN"/>
              </w:rPr>
            </w:pPr>
          </w:p>
        </w:tc>
        <w:tc>
          <w:tcPr>
            <w:tcW w:w="1510" w:type="pct"/>
            <w:shd w:val="clear" w:color="auto" w:fill="auto"/>
            <w:vAlign w:val="center"/>
          </w:tcPr>
          <w:p w14:paraId="692B2B64">
            <w:pPr>
              <w:bidi w:val="0"/>
              <w:jc w:val="center"/>
              <w:rPr>
                <w:rFonts w:hint="default"/>
                <w:color w:val="auto"/>
                <w:lang w:val="en-US" w:eastAsia="zh-CN"/>
              </w:rPr>
            </w:pPr>
            <w:r>
              <w:rPr>
                <w:rFonts w:hint="default"/>
                <w:color w:val="auto"/>
                <w:lang w:val="en-US" w:eastAsia="zh-CN"/>
              </w:rPr>
              <w:t>香蕉</w:t>
            </w:r>
          </w:p>
        </w:tc>
        <w:tc>
          <w:tcPr>
            <w:tcW w:w="745" w:type="pct"/>
            <w:shd w:val="clear" w:color="auto" w:fill="auto"/>
            <w:vAlign w:val="center"/>
          </w:tcPr>
          <w:p w14:paraId="5C143331">
            <w:pPr>
              <w:bidi w:val="0"/>
              <w:jc w:val="center"/>
              <w:rPr>
                <w:rFonts w:hint="default"/>
                <w:color w:val="auto"/>
                <w:lang w:val="en-US" w:eastAsia="zh-CN"/>
              </w:rPr>
            </w:pPr>
            <w:r>
              <w:rPr>
                <w:rFonts w:hint="default"/>
                <w:color w:val="auto"/>
                <w:lang w:val="en-US" w:eastAsia="zh-CN"/>
              </w:rPr>
              <w:t>斤</w:t>
            </w:r>
          </w:p>
        </w:tc>
        <w:tc>
          <w:tcPr>
            <w:tcW w:w="699" w:type="pct"/>
            <w:shd w:val="clear" w:color="auto" w:fill="auto"/>
            <w:vAlign w:val="center"/>
          </w:tcPr>
          <w:p w14:paraId="7BEF38C7">
            <w:pPr>
              <w:bidi w:val="0"/>
              <w:jc w:val="center"/>
              <w:rPr>
                <w:rFonts w:hint="default"/>
                <w:color w:val="auto"/>
                <w:lang w:val="en-US" w:eastAsia="zh-CN"/>
              </w:rPr>
            </w:pPr>
            <w:r>
              <w:rPr>
                <w:rFonts w:hint="default"/>
                <w:color w:val="auto"/>
                <w:lang w:val="en-US" w:eastAsia="zh-CN"/>
              </w:rPr>
              <w:t>1</w:t>
            </w:r>
          </w:p>
        </w:tc>
        <w:tc>
          <w:tcPr>
            <w:tcW w:w="827" w:type="pct"/>
            <w:shd w:val="clear" w:color="auto" w:fill="auto"/>
            <w:vAlign w:val="center"/>
          </w:tcPr>
          <w:p w14:paraId="75780B26">
            <w:pPr>
              <w:bidi w:val="0"/>
              <w:jc w:val="center"/>
              <w:rPr>
                <w:rFonts w:hint="default"/>
                <w:color w:val="auto"/>
                <w:lang w:val="en-US" w:eastAsia="zh-CN"/>
              </w:rPr>
            </w:pPr>
          </w:p>
        </w:tc>
      </w:tr>
      <w:tr w14:paraId="0E371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vAlign w:val="center"/>
          </w:tcPr>
          <w:p w14:paraId="739955F2">
            <w:pPr>
              <w:bidi w:val="0"/>
              <w:jc w:val="center"/>
              <w:rPr>
                <w:rFonts w:hint="default"/>
                <w:color w:val="auto"/>
                <w:lang w:val="en-US" w:eastAsia="zh-CN"/>
              </w:rPr>
            </w:pPr>
            <w:r>
              <w:rPr>
                <w:rFonts w:hint="default"/>
                <w:color w:val="auto"/>
                <w:lang w:val="en-US" w:eastAsia="zh-CN"/>
              </w:rPr>
              <w:t>34</w:t>
            </w:r>
          </w:p>
        </w:tc>
        <w:tc>
          <w:tcPr>
            <w:tcW w:w="875" w:type="pct"/>
            <w:vMerge w:val="continue"/>
            <w:shd w:val="clear" w:color="auto" w:fill="auto"/>
          </w:tcPr>
          <w:p w14:paraId="5C85AF6B">
            <w:pPr>
              <w:bidi w:val="0"/>
              <w:jc w:val="center"/>
              <w:rPr>
                <w:rFonts w:hint="default"/>
                <w:color w:val="auto"/>
                <w:lang w:val="en-US" w:eastAsia="zh-CN"/>
              </w:rPr>
            </w:pPr>
          </w:p>
        </w:tc>
        <w:tc>
          <w:tcPr>
            <w:tcW w:w="1510" w:type="pct"/>
            <w:shd w:val="clear" w:color="auto" w:fill="auto"/>
            <w:vAlign w:val="center"/>
          </w:tcPr>
          <w:p w14:paraId="52EA0423">
            <w:pPr>
              <w:bidi w:val="0"/>
              <w:jc w:val="center"/>
              <w:rPr>
                <w:rFonts w:hint="default"/>
                <w:color w:val="auto"/>
                <w:lang w:val="en-US" w:eastAsia="zh-CN"/>
              </w:rPr>
            </w:pPr>
            <w:r>
              <w:rPr>
                <w:rFonts w:hint="default"/>
                <w:color w:val="auto"/>
                <w:lang w:val="en-US" w:eastAsia="zh-CN"/>
              </w:rPr>
              <w:t>白肉火龙果</w:t>
            </w:r>
          </w:p>
        </w:tc>
        <w:tc>
          <w:tcPr>
            <w:tcW w:w="745" w:type="pct"/>
            <w:shd w:val="clear" w:color="auto" w:fill="auto"/>
            <w:vAlign w:val="center"/>
          </w:tcPr>
          <w:p w14:paraId="5D07AF70">
            <w:pPr>
              <w:bidi w:val="0"/>
              <w:jc w:val="center"/>
              <w:rPr>
                <w:rFonts w:hint="default"/>
                <w:color w:val="auto"/>
                <w:lang w:val="en-US" w:eastAsia="zh-CN"/>
              </w:rPr>
            </w:pPr>
            <w:r>
              <w:rPr>
                <w:rFonts w:hint="default"/>
                <w:color w:val="auto"/>
                <w:lang w:val="en-US" w:eastAsia="zh-CN"/>
              </w:rPr>
              <w:t>斤</w:t>
            </w:r>
          </w:p>
        </w:tc>
        <w:tc>
          <w:tcPr>
            <w:tcW w:w="699" w:type="pct"/>
            <w:shd w:val="clear" w:color="auto" w:fill="auto"/>
            <w:vAlign w:val="center"/>
          </w:tcPr>
          <w:p w14:paraId="2D30ED19">
            <w:pPr>
              <w:bidi w:val="0"/>
              <w:jc w:val="center"/>
              <w:rPr>
                <w:rFonts w:hint="default"/>
                <w:color w:val="auto"/>
                <w:lang w:val="en-US" w:eastAsia="zh-CN"/>
              </w:rPr>
            </w:pPr>
            <w:r>
              <w:rPr>
                <w:rFonts w:hint="default"/>
                <w:color w:val="auto"/>
                <w:lang w:val="en-US" w:eastAsia="zh-CN"/>
              </w:rPr>
              <w:t>1</w:t>
            </w:r>
          </w:p>
        </w:tc>
        <w:tc>
          <w:tcPr>
            <w:tcW w:w="827" w:type="pct"/>
            <w:shd w:val="clear" w:color="auto" w:fill="auto"/>
            <w:vAlign w:val="center"/>
          </w:tcPr>
          <w:p w14:paraId="01DEE68A">
            <w:pPr>
              <w:bidi w:val="0"/>
              <w:jc w:val="center"/>
              <w:rPr>
                <w:rFonts w:hint="default"/>
                <w:color w:val="auto"/>
                <w:lang w:val="en-US" w:eastAsia="zh-CN"/>
              </w:rPr>
            </w:pPr>
          </w:p>
        </w:tc>
      </w:tr>
      <w:tr w14:paraId="00BB3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vAlign w:val="center"/>
          </w:tcPr>
          <w:p w14:paraId="3706F0AA">
            <w:pPr>
              <w:bidi w:val="0"/>
              <w:jc w:val="center"/>
              <w:rPr>
                <w:rFonts w:hint="default"/>
                <w:color w:val="auto"/>
                <w:lang w:val="en-US" w:eastAsia="zh-CN"/>
              </w:rPr>
            </w:pPr>
            <w:r>
              <w:rPr>
                <w:rFonts w:hint="default"/>
                <w:color w:val="auto"/>
                <w:lang w:val="en-US" w:eastAsia="zh-CN"/>
              </w:rPr>
              <w:t>35</w:t>
            </w:r>
          </w:p>
        </w:tc>
        <w:tc>
          <w:tcPr>
            <w:tcW w:w="875" w:type="pct"/>
            <w:vMerge w:val="continue"/>
            <w:shd w:val="clear" w:color="auto" w:fill="auto"/>
          </w:tcPr>
          <w:p w14:paraId="7202C8BD">
            <w:pPr>
              <w:bidi w:val="0"/>
              <w:jc w:val="center"/>
              <w:rPr>
                <w:rFonts w:hint="default"/>
                <w:color w:val="auto"/>
                <w:lang w:val="en-US" w:eastAsia="zh-CN"/>
              </w:rPr>
            </w:pPr>
          </w:p>
        </w:tc>
        <w:tc>
          <w:tcPr>
            <w:tcW w:w="1510" w:type="pct"/>
            <w:shd w:val="clear" w:color="auto" w:fill="auto"/>
            <w:vAlign w:val="center"/>
          </w:tcPr>
          <w:p w14:paraId="1E46BF7C">
            <w:pPr>
              <w:bidi w:val="0"/>
              <w:jc w:val="center"/>
              <w:rPr>
                <w:rFonts w:hint="default"/>
                <w:color w:val="auto"/>
                <w:lang w:val="en-US" w:eastAsia="zh-CN"/>
              </w:rPr>
            </w:pPr>
            <w:r>
              <w:rPr>
                <w:rFonts w:hint="default"/>
                <w:color w:val="auto"/>
                <w:lang w:val="en-US" w:eastAsia="zh-CN"/>
              </w:rPr>
              <w:t>冰糖橙</w:t>
            </w:r>
          </w:p>
        </w:tc>
        <w:tc>
          <w:tcPr>
            <w:tcW w:w="745" w:type="pct"/>
            <w:shd w:val="clear" w:color="auto" w:fill="auto"/>
            <w:vAlign w:val="center"/>
          </w:tcPr>
          <w:p w14:paraId="4E7220E2">
            <w:pPr>
              <w:bidi w:val="0"/>
              <w:jc w:val="center"/>
              <w:rPr>
                <w:rFonts w:hint="default"/>
                <w:color w:val="auto"/>
                <w:lang w:val="en-US" w:eastAsia="zh-CN"/>
              </w:rPr>
            </w:pPr>
            <w:r>
              <w:rPr>
                <w:rFonts w:hint="default"/>
                <w:color w:val="auto"/>
                <w:lang w:val="en-US" w:eastAsia="zh-CN"/>
              </w:rPr>
              <w:t>斤</w:t>
            </w:r>
          </w:p>
        </w:tc>
        <w:tc>
          <w:tcPr>
            <w:tcW w:w="699" w:type="pct"/>
            <w:shd w:val="clear" w:color="auto" w:fill="auto"/>
            <w:vAlign w:val="center"/>
          </w:tcPr>
          <w:p w14:paraId="7D889F08">
            <w:pPr>
              <w:bidi w:val="0"/>
              <w:jc w:val="center"/>
              <w:rPr>
                <w:rFonts w:hint="default"/>
                <w:color w:val="auto"/>
                <w:lang w:val="en-US" w:eastAsia="zh-CN"/>
              </w:rPr>
            </w:pPr>
            <w:r>
              <w:rPr>
                <w:rFonts w:hint="default"/>
                <w:color w:val="auto"/>
                <w:lang w:val="en-US" w:eastAsia="zh-CN"/>
              </w:rPr>
              <w:t>1</w:t>
            </w:r>
          </w:p>
        </w:tc>
        <w:tc>
          <w:tcPr>
            <w:tcW w:w="827" w:type="pct"/>
            <w:shd w:val="clear" w:color="auto" w:fill="auto"/>
            <w:vAlign w:val="center"/>
          </w:tcPr>
          <w:p w14:paraId="25AA8655">
            <w:pPr>
              <w:bidi w:val="0"/>
              <w:jc w:val="center"/>
              <w:rPr>
                <w:rFonts w:hint="default"/>
                <w:color w:val="auto"/>
                <w:lang w:val="en-US" w:eastAsia="zh-CN"/>
              </w:rPr>
            </w:pPr>
          </w:p>
        </w:tc>
      </w:tr>
      <w:tr w14:paraId="7104F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vAlign w:val="center"/>
          </w:tcPr>
          <w:p w14:paraId="59F7E427">
            <w:pPr>
              <w:bidi w:val="0"/>
              <w:jc w:val="center"/>
              <w:rPr>
                <w:rFonts w:hint="default"/>
                <w:color w:val="auto"/>
                <w:lang w:val="en-US" w:eastAsia="zh-CN"/>
              </w:rPr>
            </w:pPr>
            <w:r>
              <w:rPr>
                <w:rFonts w:hint="default"/>
                <w:color w:val="auto"/>
                <w:lang w:val="en-US" w:eastAsia="zh-CN"/>
              </w:rPr>
              <w:t>36</w:t>
            </w:r>
          </w:p>
        </w:tc>
        <w:tc>
          <w:tcPr>
            <w:tcW w:w="875" w:type="pct"/>
            <w:vMerge w:val="continue"/>
            <w:shd w:val="clear" w:color="auto" w:fill="auto"/>
          </w:tcPr>
          <w:p w14:paraId="08837502">
            <w:pPr>
              <w:bidi w:val="0"/>
              <w:jc w:val="center"/>
              <w:rPr>
                <w:rFonts w:hint="default"/>
                <w:color w:val="auto"/>
                <w:lang w:val="en-US" w:eastAsia="zh-CN"/>
              </w:rPr>
            </w:pPr>
          </w:p>
        </w:tc>
        <w:tc>
          <w:tcPr>
            <w:tcW w:w="1510" w:type="pct"/>
            <w:shd w:val="clear" w:color="auto" w:fill="auto"/>
            <w:vAlign w:val="center"/>
          </w:tcPr>
          <w:p w14:paraId="6ED1D7C4">
            <w:pPr>
              <w:bidi w:val="0"/>
              <w:jc w:val="center"/>
              <w:rPr>
                <w:rFonts w:hint="default"/>
                <w:color w:val="auto"/>
                <w:lang w:val="en-US" w:eastAsia="zh-CN"/>
              </w:rPr>
            </w:pPr>
            <w:r>
              <w:rPr>
                <w:rFonts w:hint="default"/>
                <w:color w:val="auto"/>
                <w:lang w:val="en-US" w:eastAsia="zh-CN"/>
              </w:rPr>
              <w:t>哈密瓜</w:t>
            </w:r>
          </w:p>
        </w:tc>
        <w:tc>
          <w:tcPr>
            <w:tcW w:w="745" w:type="pct"/>
            <w:shd w:val="clear" w:color="auto" w:fill="auto"/>
            <w:vAlign w:val="center"/>
          </w:tcPr>
          <w:p w14:paraId="1A835E0A">
            <w:pPr>
              <w:bidi w:val="0"/>
              <w:jc w:val="center"/>
              <w:rPr>
                <w:rFonts w:hint="default"/>
                <w:color w:val="auto"/>
                <w:lang w:val="en-US" w:eastAsia="zh-CN"/>
              </w:rPr>
            </w:pPr>
            <w:r>
              <w:rPr>
                <w:rFonts w:hint="default"/>
                <w:color w:val="auto"/>
                <w:lang w:val="en-US" w:eastAsia="zh-CN"/>
              </w:rPr>
              <w:t>斤</w:t>
            </w:r>
          </w:p>
        </w:tc>
        <w:tc>
          <w:tcPr>
            <w:tcW w:w="699" w:type="pct"/>
            <w:shd w:val="clear" w:color="auto" w:fill="auto"/>
            <w:vAlign w:val="center"/>
          </w:tcPr>
          <w:p w14:paraId="4B37053B">
            <w:pPr>
              <w:bidi w:val="0"/>
              <w:jc w:val="center"/>
              <w:rPr>
                <w:rFonts w:hint="default"/>
                <w:color w:val="auto"/>
                <w:lang w:val="en-US" w:eastAsia="zh-CN"/>
              </w:rPr>
            </w:pPr>
            <w:r>
              <w:rPr>
                <w:rFonts w:hint="default"/>
                <w:color w:val="auto"/>
                <w:lang w:val="en-US" w:eastAsia="zh-CN"/>
              </w:rPr>
              <w:t>1</w:t>
            </w:r>
          </w:p>
        </w:tc>
        <w:tc>
          <w:tcPr>
            <w:tcW w:w="827" w:type="pct"/>
            <w:shd w:val="clear" w:color="auto" w:fill="auto"/>
            <w:vAlign w:val="center"/>
          </w:tcPr>
          <w:p w14:paraId="7F17E1DB">
            <w:pPr>
              <w:bidi w:val="0"/>
              <w:jc w:val="center"/>
              <w:rPr>
                <w:rFonts w:hint="default"/>
                <w:color w:val="auto"/>
                <w:lang w:val="en-US" w:eastAsia="zh-CN"/>
              </w:rPr>
            </w:pPr>
          </w:p>
        </w:tc>
      </w:tr>
      <w:tr w14:paraId="7DE2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vAlign w:val="center"/>
          </w:tcPr>
          <w:p w14:paraId="103150D1">
            <w:pPr>
              <w:bidi w:val="0"/>
              <w:jc w:val="center"/>
              <w:rPr>
                <w:rFonts w:hint="default"/>
                <w:color w:val="auto"/>
                <w:lang w:val="en-US" w:eastAsia="zh-CN"/>
              </w:rPr>
            </w:pPr>
            <w:r>
              <w:rPr>
                <w:rFonts w:hint="default"/>
                <w:color w:val="auto"/>
                <w:lang w:val="en-US" w:eastAsia="zh-CN"/>
              </w:rPr>
              <w:t>37</w:t>
            </w:r>
          </w:p>
        </w:tc>
        <w:tc>
          <w:tcPr>
            <w:tcW w:w="875" w:type="pct"/>
            <w:vMerge w:val="continue"/>
            <w:shd w:val="clear" w:color="auto" w:fill="auto"/>
          </w:tcPr>
          <w:p w14:paraId="6212B9B4">
            <w:pPr>
              <w:bidi w:val="0"/>
              <w:jc w:val="center"/>
              <w:rPr>
                <w:rFonts w:hint="default"/>
                <w:color w:val="auto"/>
                <w:lang w:val="en-US" w:eastAsia="zh-CN"/>
              </w:rPr>
            </w:pPr>
          </w:p>
        </w:tc>
        <w:tc>
          <w:tcPr>
            <w:tcW w:w="1510" w:type="pct"/>
            <w:shd w:val="clear" w:color="auto" w:fill="auto"/>
            <w:vAlign w:val="center"/>
          </w:tcPr>
          <w:p w14:paraId="543BD63B">
            <w:pPr>
              <w:bidi w:val="0"/>
              <w:jc w:val="center"/>
              <w:rPr>
                <w:rFonts w:hint="default"/>
                <w:color w:val="auto"/>
                <w:lang w:val="en-US" w:eastAsia="zh-CN"/>
              </w:rPr>
            </w:pPr>
            <w:r>
              <w:rPr>
                <w:rFonts w:hint="default"/>
                <w:color w:val="auto"/>
                <w:lang w:val="en-US" w:eastAsia="zh-CN"/>
              </w:rPr>
              <w:t>青橘</w:t>
            </w:r>
          </w:p>
        </w:tc>
        <w:tc>
          <w:tcPr>
            <w:tcW w:w="745" w:type="pct"/>
            <w:shd w:val="clear" w:color="auto" w:fill="auto"/>
            <w:vAlign w:val="center"/>
          </w:tcPr>
          <w:p w14:paraId="133AAFCF">
            <w:pPr>
              <w:bidi w:val="0"/>
              <w:jc w:val="center"/>
              <w:rPr>
                <w:rFonts w:hint="default"/>
                <w:color w:val="auto"/>
                <w:lang w:val="en-US" w:eastAsia="zh-CN"/>
              </w:rPr>
            </w:pPr>
            <w:r>
              <w:rPr>
                <w:rFonts w:hint="default"/>
                <w:color w:val="auto"/>
                <w:lang w:val="en-US" w:eastAsia="zh-CN"/>
              </w:rPr>
              <w:t>斤</w:t>
            </w:r>
          </w:p>
        </w:tc>
        <w:tc>
          <w:tcPr>
            <w:tcW w:w="699" w:type="pct"/>
            <w:shd w:val="clear" w:color="auto" w:fill="auto"/>
            <w:vAlign w:val="center"/>
          </w:tcPr>
          <w:p w14:paraId="056B170D">
            <w:pPr>
              <w:bidi w:val="0"/>
              <w:jc w:val="center"/>
              <w:rPr>
                <w:rFonts w:hint="default"/>
                <w:color w:val="auto"/>
                <w:lang w:val="en-US" w:eastAsia="zh-CN"/>
              </w:rPr>
            </w:pPr>
            <w:r>
              <w:rPr>
                <w:rFonts w:hint="default"/>
                <w:color w:val="auto"/>
                <w:lang w:val="en-US" w:eastAsia="zh-CN"/>
              </w:rPr>
              <w:t>1</w:t>
            </w:r>
          </w:p>
        </w:tc>
        <w:tc>
          <w:tcPr>
            <w:tcW w:w="827" w:type="pct"/>
            <w:shd w:val="clear" w:color="auto" w:fill="auto"/>
            <w:vAlign w:val="center"/>
          </w:tcPr>
          <w:p w14:paraId="380A1D1A">
            <w:pPr>
              <w:bidi w:val="0"/>
              <w:jc w:val="center"/>
              <w:rPr>
                <w:rFonts w:hint="default"/>
                <w:color w:val="auto"/>
                <w:lang w:val="en-US" w:eastAsia="zh-CN"/>
              </w:rPr>
            </w:pPr>
          </w:p>
        </w:tc>
      </w:tr>
      <w:tr w14:paraId="6C69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vAlign w:val="center"/>
          </w:tcPr>
          <w:p w14:paraId="25D86BC0">
            <w:pPr>
              <w:bidi w:val="0"/>
              <w:jc w:val="center"/>
              <w:rPr>
                <w:rFonts w:hint="default"/>
                <w:color w:val="auto"/>
                <w:lang w:val="en-US" w:eastAsia="zh-CN"/>
              </w:rPr>
            </w:pPr>
            <w:r>
              <w:rPr>
                <w:rFonts w:hint="default"/>
                <w:color w:val="auto"/>
                <w:lang w:val="en-US" w:eastAsia="zh-CN"/>
              </w:rPr>
              <w:t>38</w:t>
            </w:r>
          </w:p>
        </w:tc>
        <w:tc>
          <w:tcPr>
            <w:tcW w:w="875" w:type="pct"/>
            <w:vMerge w:val="continue"/>
            <w:shd w:val="clear" w:color="auto" w:fill="auto"/>
          </w:tcPr>
          <w:p w14:paraId="5C62596D">
            <w:pPr>
              <w:bidi w:val="0"/>
              <w:jc w:val="center"/>
              <w:rPr>
                <w:rFonts w:hint="default"/>
                <w:color w:val="auto"/>
                <w:lang w:val="en-US" w:eastAsia="zh-CN"/>
              </w:rPr>
            </w:pPr>
          </w:p>
        </w:tc>
        <w:tc>
          <w:tcPr>
            <w:tcW w:w="1510" w:type="pct"/>
            <w:shd w:val="clear" w:color="auto" w:fill="auto"/>
            <w:vAlign w:val="center"/>
          </w:tcPr>
          <w:p w14:paraId="2F725B7B">
            <w:pPr>
              <w:bidi w:val="0"/>
              <w:jc w:val="center"/>
              <w:rPr>
                <w:rFonts w:hint="default"/>
                <w:color w:val="auto"/>
                <w:lang w:val="en-US" w:eastAsia="zh-CN"/>
              </w:rPr>
            </w:pPr>
            <w:r>
              <w:rPr>
                <w:rFonts w:hint="default"/>
                <w:color w:val="auto"/>
                <w:lang w:val="en-US" w:eastAsia="zh-CN"/>
              </w:rPr>
              <w:t>红肉火龙果</w:t>
            </w:r>
          </w:p>
        </w:tc>
        <w:tc>
          <w:tcPr>
            <w:tcW w:w="745" w:type="pct"/>
            <w:shd w:val="clear" w:color="auto" w:fill="auto"/>
            <w:vAlign w:val="center"/>
          </w:tcPr>
          <w:p w14:paraId="4B83647F">
            <w:pPr>
              <w:bidi w:val="0"/>
              <w:jc w:val="center"/>
              <w:rPr>
                <w:rFonts w:hint="default"/>
                <w:color w:val="auto"/>
                <w:lang w:val="en-US" w:eastAsia="zh-CN"/>
              </w:rPr>
            </w:pPr>
            <w:r>
              <w:rPr>
                <w:rFonts w:hint="default"/>
                <w:color w:val="auto"/>
                <w:lang w:val="en-US" w:eastAsia="zh-CN"/>
              </w:rPr>
              <w:t>斤</w:t>
            </w:r>
          </w:p>
        </w:tc>
        <w:tc>
          <w:tcPr>
            <w:tcW w:w="699" w:type="pct"/>
            <w:shd w:val="clear" w:color="auto" w:fill="auto"/>
            <w:vAlign w:val="center"/>
          </w:tcPr>
          <w:p w14:paraId="3C9AE82E">
            <w:pPr>
              <w:bidi w:val="0"/>
              <w:jc w:val="center"/>
              <w:rPr>
                <w:rFonts w:hint="default"/>
                <w:color w:val="auto"/>
                <w:lang w:val="en-US" w:eastAsia="zh-CN"/>
              </w:rPr>
            </w:pPr>
            <w:r>
              <w:rPr>
                <w:rFonts w:hint="default"/>
                <w:color w:val="auto"/>
                <w:lang w:val="en-US" w:eastAsia="zh-CN"/>
              </w:rPr>
              <w:t>1</w:t>
            </w:r>
          </w:p>
        </w:tc>
        <w:tc>
          <w:tcPr>
            <w:tcW w:w="827" w:type="pct"/>
            <w:shd w:val="clear" w:color="auto" w:fill="auto"/>
            <w:vAlign w:val="center"/>
          </w:tcPr>
          <w:p w14:paraId="7A31B00E">
            <w:pPr>
              <w:bidi w:val="0"/>
              <w:jc w:val="center"/>
              <w:rPr>
                <w:rFonts w:hint="default"/>
                <w:color w:val="auto"/>
                <w:lang w:val="en-US" w:eastAsia="zh-CN"/>
              </w:rPr>
            </w:pPr>
          </w:p>
        </w:tc>
      </w:tr>
      <w:tr w14:paraId="6D97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vAlign w:val="center"/>
          </w:tcPr>
          <w:p w14:paraId="4B1345FC">
            <w:pPr>
              <w:bidi w:val="0"/>
              <w:jc w:val="center"/>
              <w:rPr>
                <w:rFonts w:hint="default"/>
                <w:color w:val="auto"/>
                <w:lang w:val="en-US" w:eastAsia="zh-CN"/>
              </w:rPr>
            </w:pPr>
            <w:r>
              <w:rPr>
                <w:rFonts w:hint="default"/>
                <w:color w:val="auto"/>
                <w:lang w:val="en-US" w:eastAsia="zh-CN"/>
              </w:rPr>
              <w:t>39</w:t>
            </w:r>
          </w:p>
        </w:tc>
        <w:tc>
          <w:tcPr>
            <w:tcW w:w="875" w:type="pct"/>
            <w:vMerge w:val="continue"/>
            <w:shd w:val="clear" w:color="auto" w:fill="auto"/>
          </w:tcPr>
          <w:p w14:paraId="7EB2066D">
            <w:pPr>
              <w:bidi w:val="0"/>
              <w:jc w:val="center"/>
              <w:rPr>
                <w:rFonts w:hint="default"/>
                <w:color w:val="auto"/>
                <w:lang w:val="en-US" w:eastAsia="zh-CN"/>
              </w:rPr>
            </w:pPr>
          </w:p>
        </w:tc>
        <w:tc>
          <w:tcPr>
            <w:tcW w:w="1510" w:type="pct"/>
            <w:shd w:val="clear" w:color="auto" w:fill="auto"/>
            <w:vAlign w:val="center"/>
          </w:tcPr>
          <w:p w14:paraId="44044E01">
            <w:pPr>
              <w:bidi w:val="0"/>
              <w:jc w:val="center"/>
              <w:rPr>
                <w:rFonts w:hint="default"/>
                <w:color w:val="auto"/>
                <w:lang w:val="en-US" w:eastAsia="zh-CN"/>
              </w:rPr>
            </w:pPr>
            <w:r>
              <w:rPr>
                <w:rFonts w:hint="default"/>
                <w:color w:val="auto"/>
                <w:lang w:val="en-US" w:eastAsia="zh-CN"/>
              </w:rPr>
              <w:t>秋月梨</w:t>
            </w:r>
          </w:p>
        </w:tc>
        <w:tc>
          <w:tcPr>
            <w:tcW w:w="745" w:type="pct"/>
            <w:shd w:val="clear" w:color="auto" w:fill="auto"/>
            <w:vAlign w:val="center"/>
          </w:tcPr>
          <w:p w14:paraId="0B05C300">
            <w:pPr>
              <w:bidi w:val="0"/>
              <w:jc w:val="center"/>
              <w:rPr>
                <w:rFonts w:hint="default"/>
                <w:color w:val="auto"/>
                <w:lang w:val="en-US" w:eastAsia="zh-CN"/>
              </w:rPr>
            </w:pPr>
            <w:r>
              <w:rPr>
                <w:rFonts w:hint="default"/>
                <w:color w:val="auto"/>
                <w:lang w:val="en-US" w:eastAsia="zh-CN"/>
              </w:rPr>
              <w:t>斤</w:t>
            </w:r>
          </w:p>
        </w:tc>
        <w:tc>
          <w:tcPr>
            <w:tcW w:w="699" w:type="pct"/>
            <w:shd w:val="clear" w:color="auto" w:fill="auto"/>
            <w:vAlign w:val="center"/>
          </w:tcPr>
          <w:p w14:paraId="6041F05F">
            <w:pPr>
              <w:bidi w:val="0"/>
              <w:jc w:val="center"/>
              <w:rPr>
                <w:rFonts w:hint="default"/>
                <w:color w:val="auto"/>
                <w:lang w:val="en-US" w:eastAsia="zh-CN"/>
              </w:rPr>
            </w:pPr>
            <w:r>
              <w:rPr>
                <w:rFonts w:hint="default"/>
                <w:color w:val="auto"/>
                <w:lang w:val="en-US" w:eastAsia="zh-CN"/>
              </w:rPr>
              <w:t>1</w:t>
            </w:r>
          </w:p>
        </w:tc>
        <w:tc>
          <w:tcPr>
            <w:tcW w:w="827" w:type="pct"/>
            <w:shd w:val="clear" w:color="auto" w:fill="auto"/>
            <w:vAlign w:val="center"/>
          </w:tcPr>
          <w:p w14:paraId="1F6B2D2B">
            <w:pPr>
              <w:bidi w:val="0"/>
              <w:jc w:val="center"/>
              <w:rPr>
                <w:rFonts w:hint="default"/>
                <w:color w:val="auto"/>
                <w:lang w:val="en-US" w:eastAsia="zh-CN"/>
              </w:rPr>
            </w:pPr>
          </w:p>
        </w:tc>
      </w:tr>
      <w:tr w14:paraId="1AD4E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vAlign w:val="center"/>
          </w:tcPr>
          <w:p w14:paraId="1EF5AF4E">
            <w:pPr>
              <w:bidi w:val="0"/>
              <w:jc w:val="center"/>
              <w:rPr>
                <w:rFonts w:hint="default"/>
                <w:color w:val="auto"/>
                <w:lang w:val="en-US" w:eastAsia="zh-CN"/>
              </w:rPr>
            </w:pPr>
            <w:r>
              <w:rPr>
                <w:rFonts w:hint="default"/>
                <w:color w:val="auto"/>
                <w:lang w:val="en-US" w:eastAsia="zh-CN"/>
              </w:rPr>
              <w:t>40</w:t>
            </w:r>
          </w:p>
        </w:tc>
        <w:tc>
          <w:tcPr>
            <w:tcW w:w="875" w:type="pct"/>
            <w:vMerge w:val="continue"/>
            <w:shd w:val="clear" w:color="auto" w:fill="auto"/>
          </w:tcPr>
          <w:p w14:paraId="29A896DC">
            <w:pPr>
              <w:bidi w:val="0"/>
              <w:jc w:val="center"/>
              <w:rPr>
                <w:rFonts w:hint="default"/>
                <w:color w:val="auto"/>
                <w:lang w:val="en-US" w:eastAsia="zh-CN"/>
              </w:rPr>
            </w:pPr>
          </w:p>
        </w:tc>
        <w:tc>
          <w:tcPr>
            <w:tcW w:w="1510" w:type="pct"/>
            <w:shd w:val="clear" w:color="auto" w:fill="auto"/>
            <w:vAlign w:val="center"/>
          </w:tcPr>
          <w:p w14:paraId="326BB199">
            <w:pPr>
              <w:bidi w:val="0"/>
              <w:jc w:val="center"/>
              <w:rPr>
                <w:rFonts w:hint="default"/>
                <w:color w:val="auto"/>
                <w:lang w:val="en-US" w:eastAsia="zh-CN"/>
              </w:rPr>
            </w:pPr>
            <w:r>
              <w:rPr>
                <w:rFonts w:hint="default"/>
                <w:color w:val="auto"/>
                <w:lang w:val="en-US" w:eastAsia="zh-CN"/>
              </w:rPr>
              <w:t>无籽红提</w:t>
            </w:r>
          </w:p>
        </w:tc>
        <w:tc>
          <w:tcPr>
            <w:tcW w:w="745" w:type="pct"/>
            <w:shd w:val="clear" w:color="auto" w:fill="auto"/>
            <w:vAlign w:val="center"/>
          </w:tcPr>
          <w:p w14:paraId="650A8D03">
            <w:pPr>
              <w:bidi w:val="0"/>
              <w:jc w:val="center"/>
              <w:rPr>
                <w:rFonts w:hint="default"/>
                <w:color w:val="auto"/>
                <w:lang w:val="en-US" w:eastAsia="zh-CN"/>
              </w:rPr>
            </w:pPr>
            <w:r>
              <w:rPr>
                <w:rFonts w:hint="default"/>
                <w:color w:val="auto"/>
                <w:lang w:val="en-US" w:eastAsia="zh-CN"/>
              </w:rPr>
              <w:t>斤</w:t>
            </w:r>
          </w:p>
        </w:tc>
        <w:tc>
          <w:tcPr>
            <w:tcW w:w="699" w:type="pct"/>
            <w:shd w:val="clear" w:color="auto" w:fill="auto"/>
            <w:vAlign w:val="center"/>
          </w:tcPr>
          <w:p w14:paraId="2C69C6EB">
            <w:pPr>
              <w:bidi w:val="0"/>
              <w:jc w:val="center"/>
              <w:rPr>
                <w:rFonts w:hint="default"/>
                <w:color w:val="auto"/>
                <w:lang w:val="en-US" w:eastAsia="zh-CN"/>
              </w:rPr>
            </w:pPr>
            <w:r>
              <w:rPr>
                <w:rFonts w:hint="default"/>
                <w:color w:val="auto"/>
                <w:lang w:val="en-US" w:eastAsia="zh-CN"/>
              </w:rPr>
              <w:t>1</w:t>
            </w:r>
          </w:p>
        </w:tc>
        <w:tc>
          <w:tcPr>
            <w:tcW w:w="827" w:type="pct"/>
            <w:shd w:val="clear" w:color="auto" w:fill="auto"/>
            <w:vAlign w:val="center"/>
          </w:tcPr>
          <w:p w14:paraId="352A2435">
            <w:pPr>
              <w:bidi w:val="0"/>
              <w:jc w:val="center"/>
              <w:rPr>
                <w:rFonts w:hint="default"/>
                <w:color w:val="auto"/>
                <w:lang w:val="en-US" w:eastAsia="zh-CN"/>
              </w:rPr>
            </w:pPr>
          </w:p>
        </w:tc>
      </w:tr>
      <w:tr w14:paraId="4B7AF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vAlign w:val="center"/>
          </w:tcPr>
          <w:p w14:paraId="2B02BFEB">
            <w:pPr>
              <w:bidi w:val="0"/>
              <w:jc w:val="center"/>
              <w:rPr>
                <w:rFonts w:hint="default"/>
                <w:color w:val="auto"/>
                <w:lang w:val="en-US" w:eastAsia="zh-CN"/>
              </w:rPr>
            </w:pPr>
            <w:r>
              <w:rPr>
                <w:rFonts w:hint="default"/>
                <w:color w:val="auto"/>
                <w:lang w:val="en-US" w:eastAsia="zh-CN"/>
              </w:rPr>
              <w:t>41</w:t>
            </w:r>
          </w:p>
        </w:tc>
        <w:tc>
          <w:tcPr>
            <w:tcW w:w="875" w:type="pct"/>
            <w:vMerge w:val="continue"/>
            <w:shd w:val="clear" w:color="auto" w:fill="auto"/>
          </w:tcPr>
          <w:p w14:paraId="47590221">
            <w:pPr>
              <w:bidi w:val="0"/>
              <w:jc w:val="center"/>
              <w:rPr>
                <w:rFonts w:hint="default"/>
                <w:color w:val="auto"/>
                <w:lang w:val="en-US" w:eastAsia="zh-CN"/>
              </w:rPr>
            </w:pPr>
          </w:p>
        </w:tc>
        <w:tc>
          <w:tcPr>
            <w:tcW w:w="1510" w:type="pct"/>
            <w:shd w:val="clear" w:color="auto" w:fill="auto"/>
            <w:vAlign w:val="center"/>
          </w:tcPr>
          <w:p w14:paraId="2DADA82E">
            <w:pPr>
              <w:bidi w:val="0"/>
              <w:jc w:val="center"/>
              <w:rPr>
                <w:rFonts w:hint="default"/>
                <w:color w:val="auto"/>
                <w:lang w:val="en-US" w:eastAsia="zh-CN"/>
              </w:rPr>
            </w:pPr>
            <w:r>
              <w:rPr>
                <w:rFonts w:hint="default"/>
                <w:color w:val="auto"/>
                <w:lang w:val="en-US" w:eastAsia="zh-CN"/>
              </w:rPr>
              <w:t>阳光玫瑰葡萄</w:t>
            </w:r>
          </w:p>
        </w:tc>
        <w:tc>
          <w:tcPr>
            <w:tcW w:w="745" w:type="pct"/>
            <w:shd w:val="clear" w:color="auto" w:fill="auto"/>
            <w:vAlign w:val="center"/>
          </w:tcPr>
          <w:p w14:paraId="0FAD15F0">
            <w:pPr>
              <w:bidi w:val="0"/>
              <w:jc w:val="center"/>
              <w:rPr>
                <w:rFonts w:hint="default"/>
                <w:color w:val="auto"/>
                <w:lang w:val="en-US" w:eastAsia="zh-CN"/>
              </w:rPr>
            </w:pPr>
            <w:r>
              <w:rPr>
                <w:rFonts w:hint="default"/>
                <w:color w:val="auto"/>
                <w:lang w:val="en-US" w:eastAsia="zh-CN"/>
              </w:rPr>
              <w:t>斤</w:t>
            </w:r>
          </w:p>
        </w:tc>
        <w:tc>
          <w:tcPr>
            <w:tcW w:w="699" w:type="pct"/>
            <w:shd w:val="clear" w:color="auto" w:fill="auto"/>
            <w:vAlign w:val="center"/>
          </w:tcPr>
          <w:p w14:paraId="11F8EDFC">
            <w:pPr>
              <w:bidi w:val="0"/>
              <w:jc w:val="center"/>
              <w:rPr>
                <w:rFonts w:hint="default"/>
                <w:color w:val="auto"/>
                <w:lang w:val="en-US" w:eastAsia="zh-CN"/>
              </w:rPr>
            </w:pPr>
            <w:r>
              <w:rPr>
                <w:rFonts w:hint="default"/>
                <w:color w:val="auto"/>
                <w:lang w:val="en-US" w:eastAsia="zh-CN"/>
              </w:rPr>
              <w:t>1</w:t>
            </w:r>
          </w:p>
        </w:tc>
        <w:tc>
          <w:tcPr>
            <w:tcW w:w="827" w:type="pct"/>
            <w:shd w:val="clear" w:color="auto" w:fill="auto"/>
            <w:vAlign w:val="center"/>
          </w:tcPr>
          <w:p w14:paraId="6C788423">
            <w:pPr>
              <w:bidi w:val="0"/>
              <w:jc w:val="center"/>
              <w:rPr>
                <w:rFonts w:hint="default"/>
                <w:color w:val="auto"/>
                <w:lang w:val="en-US" w:eastAsia="zh-CN"/>
              </w:rPr>
            </w:pPr>
          </w:p>
        </w:tc>
      </w:tr>
      <w:tr w14:paraId="01C1B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vAlign w:val="center"/>
          </w:tcPr>
          <w:p w14:paraId="6F802689">
            <w:pPr>
              <w:bidi w:val="0"/>
              <w:jc w:val="center"/>
              <w:rPr>
                <w:rFonts w:hint="default"/>
                <w:color w:val="auto"/>
                <w:lang w:val="en-US" w:eastAsia="zh-CN"/>
              </w:rPr>
            </w:pPr>
            <w:r>
              <w:rPr>
                <w:rFonts w:hint="default"/>
                <w:color w:val="auto"/>
                <w:lang w:val="en-US" w:eastAsia="zh-CN"/>
              </w:rPr>
              <w:t>42</w:t>
            </w:r>
          </w:p>
        </w:tc>
        <w:tc>
          <w:tcPr>
            <w:tcW w:w="875" w:type="pct"/>
            <w:vMerge w:val="continue"/>
            <w:shd w:val="clear" w:color="auto" w:fill="auto"/>
          </w:tcPr>
          <w:p w14:paraId="34B0A6A4">
            <w:pPr>
              <w:bidi w:val="0"/>
              <w:jc w:val="center"/>
              <w:rPr>
                <w:rFonts w:hint="default"/>
                <w:color w:val="auto"/>
                <w:lang w:val="en-US" w:eastAsia="zh-CN"/>
              </w:rPr>
            </w:pPr>
          </w:p>
        </w:tc>
        <w:tc>
          <w:tcPr>
            <w:tcW w:w="1510" w:type="pct"/>
            <w:shd w:val="clear" w:color="auto" w:fill="auto"/>
            <w:vAlign w:val="center"/>
          </w:tcPr>
          <w:p w14:paraId="380E574C">
            <w:pPr>
              <w:bidi w:val="0"/>
              <w:jc w:val="center"/>
              <w:rPr>
                <w:rFonts w:hint="default"/>
                <w:color w:val="auto"/>
                <w:lang w:val="en-US" w:eastAsia="zh-CN"/>
              </w:rPr>
            </w:pPr>
            <w:r>
              <w:rPr>
                <w:rFonts w:hint="default"/>
                <w:color w:val="auto"/>
                <w:lang w:val="en-US" w:eastAsia="zh-CN"/>
              </w:rPr>
              <w:t>贡梨</w:t>
            </w:r>
          </w:p>
        </w:tc>
        <w:tc>
          <w:tcPr>
            <w:tcW w:w="745" w:type="pct"/>
            <w:shd w:val="clear" w:color="auto" w:fill="auto"/>
            <w:vAlign w:val="center"/>
          </w:tcPr>
          <w:p w14:paraId="4044D5E5">
            <w:pPr>
              <w:bidi w:val="0"/>
              <w:jc w:val="center"/>
              <w:rPr>
                <w:rFonts w:hint="default"/>
                <w:color w:val="auto"/>
                <w:lang w:val="en-US" w:eastAsia="zh-CN"/>
              </w:rPr>
            </w:pPr>
            <w:r>
              <w:rPr>
                <w:rFonts w:hint="default"/>
                <w:color w:val="auto"/>
                <w:lang w:val="en-US" w:eastAsia="zh-CN"/>
              </w:rPr>
              <w:t>斤</w:t>
            </w:r>
          </w:p>
        </w:tc>
        <w:tc>
          <w:tcPr>
            <w:tcW w:w="699" w:type="pct"/>
            <w:shd w:val="clear" w:color="auto" w:fill="auto"/>
            <w:vAlign w:val="center"/>
          </w:tcPr>
          <w:p w14:paraId="77257247">
            <w:pPr>
              <w:bidi w:val="0"/>
              <w:jc w:val="center"/>
              <w:rPr>
                <w:rFonts w:hint="default"/>
                <w:color w:val="auto"/>
                <w:lang w:val="en-US" w:eastAsia="zh-CN"/>
              </w:rPr>
            </w:pPr>
            <w:r>
              <w:rPr>
                <w:rFonts w:hint="default"/>
                <w:color w:val="auto"/>
                <w:lang w:val="en-US" w:eastAsia="zh-CN"/>
              </w:rPr>
              <w:t>1</w:t>
            </w:r>
          </w:p>
        </w:tc>
        <w:tc>
          <w:tcPr>
            <w:tcW w:w="827" w:type="pct"/>
            <w:shd w:val="clear" w:color="auto" w:fill="auto"/>
            <w:vAlign w:val="center"/>
          </w:tcPr>
          <w:p w14:paraId="5CFF3707">
            <w:pPr>
              <w:bidi w:val="0"/>
              <w:jc w:val="center"/>
              <w:rPr>
                <w:rFonts w:hint="default"/>
                <w:color w:val="auto"/>
                <w:lang w:val="en-US" w:eastAsia="zh-CN"/>
              </w:rPr>
            </w:pPr>
          </w:p>
        </w:tc>
      </w:tr>
      <w:tr w14:paraId="05ED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vAlign w:val="center"/>
          </w:tcPr>
          <w:p w14:paraId="5DF34A73">
            <w:pPr>
              <w:bidi w:val="0"/>
              <w:jc w:val="center"/>
              <w:rPr>
                <w:rFonts w:hint="default"/>
                <w:color w:val="auto"/>
                <w:lang w:val="en-US" w:eastAsia="zh-CN"/>
              </w:rPr>
            </w:pPr>
            <w:r>
              <w:rPr>
                <w:rFonts w:hint="default"/>
                <w:color w:val="auto"/>
                <w:lang w:val="en-US" w:eastAsia="zh-CN"/>
              </w:rPr>
              <w:t>43</w:t>
            </w:r>
          </w:p>
        </w:tc>
        <w:tc>
          <w:tcPr>
            <w:tcW w:w="875" w:type="pct"/>
            <w:vMerge w:val="continue"/>
            <w:shd w:val="clear" w:color="auto" w:fill="auto"/>
          </w:tcPr>
          <w:p w14:paraId="0A585B75">
            <w:pPr>
              <w:bidi w:val="0"/>
              <w:jc w:val="center"/>
              <w:rPr>
                <w:rFonts w:hint="default"/>
                <w:color w:val="auto"/>
                <w:lang w:val="en-US" w:eastAsia="zh-CN"/>
              </w:rPr>
            </w:pPr>
          </w:p>
        </w:tc>
        <w:tc>
          <w:tcPr>
            <w:tcW w:w="1510" w:type="pct"/>
            <w:shd w:val="clear" w:color="auto" w:fill="auto"/>
            <w:vAlign w:val="center"/>
          </w:tcPr>
          <w:p w14:paraId="32C69CD7">
            <w:pPr>
              <w:bidi w:val="0"/>
              <w:jc w:val="center"/>
              <w:rPr>
                <w:rFonts w:hint="default"/>
                <w:color w:val="auto"/>
                <w:lang w:val="en-US" w:eastAsia="zh-CN"/>
              </w:rPr>
            </w:pPr>
            <w:r>
              <w:rPr>
                <w:rFonts w:hint="default"/>
                <w:color w:val="auto"/>
                <w:lang w:val="en-US" w:eastAsia="zh-CN"/>
              </w:rPr>
              <w:t>麒麟西瓜</w:t>
            </w:r>
          </w:p>
        </w:tc>
        <w:tc>
          <w:tcPr>
            <w:tcW w:w="745" w:type="pct"/>
            <w:shd w:val="clear" w:color="auto" w:fill="auto"/>
            <w:vAlign w:val="center"/>
          </w:tcPr>
          <w:p w14:paraId="76A00028">
            <w:pPr>
              <w:bidi w:val="0"/>
              <w:jc w:val="center"/>
              <w:rPr>
                <w:rFonts w:hint="default"/>
                <w:color w:val="auto"/>
                <w:lang w:val="en-US" w:eastAsia="zh-CN"/>
              </w:rPr>
            </w:pPr>
            <w:r>
              <w:rPr>
                <w:rFonts w:hint="default"/>
                <w:color w:val="auto"/>
                <w:lang w:val="en-US" w:eastAsia="zh-CN"/>
              </w:rPr>
              <w:t>斤</w:t>
            </w:r>
          </w:p>
        </w:tc>
        <w:tc>
          <w:tcPr>
            <w:tcW w:w="699" w:type="pct"/>
            <w:shd w:val="clear" w:color="auto" w:fill="auto"/>
            <w:vAlign w:val="center"/>
          </w:tcPr>
          <w:p w14:paraId="6F83CE6E">
            <w:pPr>
              <w:bidi w:val="0"/>
              <w:jc w:val="center"/>
              <w:rPr>
                <w:rFonts w:hint="default"/>
                <w:color w:val="auto"/>
                <w:lang w:val="en-US" w:eastAsia="zh-CN"/>
              </w:rPr>
            </w:pPr>
            <w:r>
              <w:rPr>
                <w:rFonts w:hint="default"/>
                <w:color w:val="auto"/>
                <w:lang w:val="en-US" w:eastAsia="zh-CN"/>
              </w:rPr>
              <w:t>1</w:t>
            </w:r>
          </w:p>
        </w:tc>
        <w:tc>
          <w:tcPr>
            <w:tcW w:w="827" w:type="pct"/>
            <w:shd w:val="clear" w:color="auto" w:fill="auto"/>
            <w:vAlign w:val="center"/>
          </w:tcPr>
          <w:p w14:paraId="3A4BDE59">
            <w:pPr>
              <w:bidi w:val="0"/>
              <w:jc w:val="center"/>
              <w:rPr>
                <w:rFonts w:hint="default"/>
                <w:color w:val="auto"/>
                <w:lang w:val="en-US" w:eastAsia="zh-CN"/>
              </w:rPr>
            </w:pPr>
          </w:p>
        </w:tc>
      </w:tr>
      <w:tr w14:paraId="56A05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vAlign w:val="center"/>
          </w:tcPr>
          <w:p w14:paraId="5E612406">
            <w:pPr>
              <w:bidi w:val="0"/>
              <w:jc w:val="center"/>
              <w:rPr>
                <w:rFonts w:hint="default"/>
                <w:color w:val="auto"/>
                <w:lang w:val="en-US" w:eastAsia="zh-CN"/>
              </w:rPr>
            </w:pPr>
            <w:r>
              <w:rPr>
                <w:rFonts w:hint="default"/>
                <w:color w:val="auto"/>
                <w:lang w:val="en-US" w:eastAsia="zh-CN"/>
              </w:rPr>
              <w:t>44</w:t>
            </w:r>
          </w:p>
        </w:tc>
        <w:tc>
          <w:tcPr>
            <w:tcW w:w="875" w:type="pct"/>
            <w:vMerge w:val="continue"/>
            <w:shd w:val="clear" w:color="auto" w:fill="auto"/>
          </w:tcPr>
          <w:p w14:paraId="3323DAA3">
            <w:pPr>
              <w:bidi w:val="0"/>
              <w:jc w:val="center"/>
              <w:rPr>
                <w:rFonts w:hint="default"/>
                <w:color w:val="auto"/>
                <w:lang w:val="en-US" w:eastAsia="zh-CN"/>
              </w:rPr>
            </w:pPr>
          </w:p>
        </w:tc>
        <w:tc>
          <w:tcPr>
            <w:tcW w:w="1510" w:type="pct"/>
            <w:shd w:val="clear" w:color="auto" w:fill="auto"/>
            <w:vAlign w:val="center"/>
          </w:tcPr>
          <w:p w14:paraId="13B7E9BB">
            <w:pPr>
              <w:bidi w:val="0"/>
              <w:jc w:val="center"/>
              <w:rPr>
                <w:rFonts w:hint="default"/>
                <w:color w:val="auto"/>
                <w:lang w:val="en-US" w:eastAsia="zh-CN"/>
              </w:rPr>
            </w:pPr>
            <w:r>
              <w:rPr>
                <w:rFonts w:hint="default"/>
                <w:color w:val="auto"/>
                <w:lang w:val="en-US" w:eastAsia="zh-CN"/>
              </w:rPr>
              <w:t>米蕉</w:t>
            </w:r>
          </w:p>
        </w:tc>
        <w:tc>
          <w:tcPr>
            <w:tcW w:w="745" w:type="pct"/>
            <w:shd w:val="clear" w:color="auto" w:fill="auto"/>
            <w:vAlign w:val="center"/>
          </w:tcPr>
          <w:p w14:paraId="5FADB806">
            <w:pPr>
              <w:bidi w:val="0"/>
              <w:jc w:val="center"/>
              <w:rPr>
                <w:rFonts w:hint="default"/>
                <w:color w:val="auto"/>
                <w:lang w:val="en-US" w:eastAsia="zh-CN"/>
              </w:rPr>
            </w:pPr>
            <w:r>
              <w:rPr>
                <w:rFonts w:hint="default"/>
                <w:color w:val="auto"/>
                <w:lang w:val="en-US" w:eastAsia="zh-CN"/>
              </w:rPr>
              <w:t>斤</w:t>
            </w:r>
          </w:p>
        </w:tc>
        <w:tc>
          <w:tcPr>
            <w:tcW w:w="699" w:type="pct"/>
            <w:shd w:val="clear" w:color="auto" w:fill="auto"/>
            <w:vAlign w:val="center"/>
          </w:tcPr>
          <w:p w14:paraId="233A662F">
            <w:pPr>
              <w:bidi w:val="0"/>
              <w:jc w:val="center"/>
              <w:rPr>
                <w:rFonts w:hint="default"/>
                <w:color w:val="auto"/>
                <w:lang w:val="en-US" w:eastAsia="zh-CN"/>
              </w:rPr>
            </w:pPr>
            <w:r>
              <w:rPr>
                <w:rFonts w:hint="default"/>
                <w:color w:val="auto"/>
                <w:lang w:val="en-US" w:eastAsia="zh-CN"/>
              </w:rPr>
              <w:t>1</w:t>
            </w:r>
          </w:p>
        </w:tc>
        <w:tc>
          <w:tcPr>
            <w:tcW w:w="827" w:type="pct"/>
            <w:shd w:val="clear" w:color="auto" w:fill="auto"/>
            <w:vAlign w:val="center"/>
          </w:tcPr>
          <w:p w14:paraId="4121ABFD">
            <w:pPr>
              <w:bidi w:val="0"/>
              <w:jc w:val="center"/>
              <w:rPr>
                <w:rFonts w:hint="default"/>
                <w:color w:val="auto"/>
                <w:lang w:val="en-US" w:eastAsia="zh-CN"/>
              </w:rPr>
            </w:pPr>
          </w:p>
        </w:tc>
      </w:tr>
      <w:tr w14:paraId="2658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 w:type="pct"/>
            <w:shd w:val="clear" w:color="auto" w:fill="auto"/>
            <w:vAlign w:val="center"/>
          </w:tcPr>
          <w:p w14:paraId="71445303">
            <w:pPr>
              <w:bidi w:val="0"/>
              <w:jc w:val="center"/>
              <w:rPr>
                <w:rFonts w:hint="default"/>
                <w:color w:val="auto"/>
                <w:lang w:val="en-US" w:eastAsia="zh-CN"/>
              </w:rPr>
            </w:pPr>
            <w:r>
              <w:rPr>
                <w:rFonts w:hint="default"/>
                <w:color w:val="auto"/>
                <w:lang w:val="en-US" w:eastAsia="zh-CN"/>
              </w:rPr>
              <w:t>45</w:t>
            </w:r>
          </w:p>
        </w:tc>
        <w:tc>
          <w:tcPr>
            <w:tcW w:w="875" w:type="pct"/>
            <w:vMerge w:val="continue"/>
            <w:shd w:val="clear" w:color="auto" w:fill="auto"/>
          </w:tcPr>
          <w:p w14:paraId="5CCD745B">
            <w:pPr>
              <w:bidi w:val="0"/>
              <w:jc w:val="center"/>
              <w:rPr>
                <w:rFonts w:hint="default"/>
                <w:color w:val="auto"/>
                <w:lang w:val="en-US" w:eastAsia="zh-CN"/>
              </w:rPr>
            </w:pPr>
          </w:p>
        </w:tc>
        <w:tc>
          <w:tcPr>
            <w:tcW w:w="1510" w:type="pct"/>
            <w:shd w:val="clear" w:color="auto" w:fill="auto"/>
            <w:vAlign w:val="center"/>
          </w:tcPr>
          <w:p w14:paraId="26A45B16">
            <w:pPr>
              <w:bidi w:val="0"/>
              <w:jc w:val="center"/>
              <w:rPr>
                <w:rFonts w:hint="default"/>
                <w:color w:val="auto"/>
                <w:lang w:val="en-US" w:eastAsia="zh-CN"/>
              </w:rPr>
            </w:pPr>
            <w:r>
              <w:rPr>
                <w:rFonts w:hint="default"/>
                <w:color w:val="auto"/>
                <w:lang w:val="en-US" w:eastAsia="zh-CN"/>
              </w:rPr>
              <w:t>百香果</w:t>
            </w:r>
          </w:p>
        </w:tc>
        <w:tc>
          <w:tcPr>
            <w:tcW w:w="745" w:type="pct"/>
            <w:shd w:val="clear" w:color="auto" w:fill="auto"/>
            <w:vAlign w:val="center"/>
          </w:tcPr>
          <w:p w14:paraId="1E019B80">
            <w:pPr>
              <w:bidi w:val="0"/>
              <w:jc w:val="center"/>
              <w:rPr>
                <w:rFonts w:hint="default"/>
                <w:color w:val="auto"/>
                <w:lang w:val="en-US" w:eastAsia="zh-CN"/>
              </w:rPr>
            </w:pPr>
            <w:r>
              <w:rPr>
                <w:rFonts w:hint="default"/>
                <w:color w:val="auto"/>
                <w:lang w:val="en-US" w:eastAsia="zh-CN"/>
              </w:rPr>
              <w:t>斤</w:t>
            </w:r>
          </w:p>
        </w:tc>
        <w:tc>
          <w:tcPr>
            <w:tcW w:w="699" w:type="pct"/>
            <w:shd w:val="clear" w:color="auto" w:fill="auto"/>
            <w:vAlign w:val="center"/>
          </w:tcPr>
          <w:p w14:paraId="2D08FD3D">
            <w:pPr>
              <w:bidi w:val="0"/>
              <w:jc w:val="center"/>
              <w:rPr>
                <w:rFonts w:hint="default"/>
                <w:color w:val="auto"/>
                <w:lang w:val="en-US" w:eastAsia="zh-CN"/>
              </w:rPr>
            </w:pPr>
            <w:r>
              <w:rPr>
                <w:rFonts w:hint="default"/>
                <w:color w:val="auto"/>
                <w:lang w:val="en-US" w:eastAsia="zh-CN"/>
              </w:rPr>
              <w:t>1</w:t>
            </w:r>
          </w:p>
        </w:tc>
        <w:tc>
          <w:tcPr>
            <w:tcW w:w="827" w:type="pct"/>
            <w:shd w:val="clear" w:color="auto" w:fill="auto"/>
            <w:vAlign w:val="center"/>
          </w:tcPr>
          <w:p w14:paraId="3A17B730">
            <w:pPr>
              <w:bidi w:val="0"/>
              <w:jc w:val="center"/>
              <w:rPr>
                <w:rFonts w:hint="default"/>
                <w:color w:val="auto"/>
                <w:lang w:val="en-US" w:eastAsia="zh-CN"/>
              </w:rPr>
            </w:pPr>
          </w:p>
        </w:tc>
      </w:tr>
    </w:tbl>
    <w:p w14:paraId="7BB1980A">
      <w:pPr>
        <w:bidi w:val="0"/>
        <w:rPr>
          <w:rFonts w:hint="default"/>
          <w:b/>
          <w:bCs/>
          <w:color w:val="auto"/>
          <w:lang w:val="en-US" w:eastAsia="zh-CN"/>
        </w:rPr>
      </w:pPr>
      <w:bookmarkStart w:id="30" w:name="_Toc26927"/>
      <w:r>
        <w:rPr>
          <w:rFonts w:hint="eastAsia"/>
          <w:b/>
          <w:bCs/>
          <w:color w:val="auto"/>
          <w:lang w:val="en-US" w:eastAsia="zh-CN"/>
        </w:rPr>
        <w:t>（二）</w:t>
      </w:r>
      <w:r>
        <w:rPr>
          <w:rFonts w:hint="default"/>
          <w:b/>
          <w:bCs/>
          <w:color w:val="auto"/>
          <w:lang w:val="en-US" w:eastAsia="zh-CN"/>
        </w:rPr>
        <w:t>总体要求</w:t>
      </w:r>
      <w:bookmarkEnd w:id="30"/>
    </w:p>
    <w:p w14:paraId="4D8A05EE">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1.</w:t>
      </w:r>
      <w:r>
        <w:rPr>
          <w:rFonts w:hint="eastAsia"/>
          <w:color w:val="auto"/>
          <w:lang w:val="en-US" w:eastAsia="zh-CN"/>
        </w:rPr>
        <w:t>乙方</w:t>
      </w:r>
      <w:r>
        <w:rPr>
          <w:rFonts w:hint="default"/>
          <w:color w:val="auto"/>
          <w:lang w:val="en-US" w:eastAsia="zh-CN"/>
        </w:rPr>
        <w:t>应严格遵守《食品卫生法》和《农产品质量安全法》等相关规定。</w:t>
      </w:r>
    </w:p>
    <w:p w14:paraId="6F94FD07">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2.</w:t>
      </w:r>
      <w:r>
        <w:rPr>
          <w:rFonts w:hint="eastAsia"/>
          <w:color w:val="auto"/>
          <w:lang w:val="en-US" w:eastAsia="zh-CN"/>
        </w:rPr>
        <w:t>乙方</w:t>
      </w:r>
      <w:r>
        <w:rPr>
          <w:rFonts w:hint="default"/>
          <w:color w:val="auto"/>
          <w:lang w:val="en-US" w:eastAsia="zh-CN"/>
        </w:rPr>
        <w:t>所供的食品必须符合国家有关标准，保证无异味、无霉烂变质，如不符合投标文件所描述的质量标准，必须退货并承担违约责任。</w:t>
      </w:r>
    </w:p>
    <w:p w14:paraId="61E72386">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3.</w:t>
      </w:r>
      <w:r>
        <w:rPr>
          <w:rFonts w:hint="default"/>
          <w:color w:val="auto"/>
          <w:lang w:val="en-US" w:eastAsia="zh-CN"/>
        </w:rPr>
        <w:t>所供食品必须符合国家行业生产及经营标准，货真价实，均能提供相应批次的合格检验证明。</w:t>
      </w:r>
    </w:p>
    <w:p w14:paraId="7CB27836">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4.</w:t>
      </w:r>
      <w:r>
        <w:rPr>
          <w:rFonts w:hint="default"/>
          <w:color w:val="auto"/>
          <w:lang w:val="en-US" w:eastAsia="zh-CN"/>
        </w:rPr>
        <w:t>投标食品必须各项技术指标完全符合国家有关质量检测、环保标准及产品出厂标准。</w:t>
      </w:r>
    </w:p>
    <w:p w14:paraId="0B579FF7">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5.</w:t>
      </w:r>
      <w:r>
        <w:rPr>
          <w:rFonts w:hint="eastAsia"/>
          <w:color w:val="auto"/>
          <w:lang w:val="en-US" w:eastAsia="zh-CN"/>
        </w:rPr>
        <w:t>乙方</w:t>
      </w:r>
      <w:r>
        <w:rPr>
          <w:rFonts w:hint="default"/>
          <w:color w:val="auto"/>
          <w:lang w:val="en-US" w:eastAsia="zh-CN"/>
        </w:rPr>
        <w:t>必须负责货物的运输、质量检测等工作，</w:t>
      </w:r>
      <w:bookmarkStart w:id="33" w:name="_GoBack"/>
      <w:bookmarkEnd w:id="33"/>
      <w:r>
        <w:rPr>
          <w:rFonts w:hint="default"/>
          <w:color w:val="auto"/>
          <w:lang w:val="en-US" w:eastAsia="zh-CN"/>
        </w:rPr>
        <w:t>所产生的费用由</w:t>
      </w:r>
      <w:r>
        <w:rPr>
          <w:rFonts w:hint="eastAsia"/>
          <w:color w:val="auto"/>
          <w:lang w:val="en-US" w:eastAsia="zh-CN"/>
        </w:rPr>
        <w:t>乙方</w:t>
      </w:r>
      <w:r>
        <w:rPr>
          <w:rFonts w:hint="default"/>
          <w:color w:val="auto"/>
          <w:lang w:val="en-US" w:eastAsia="zh-CN"/>
        </w:rPr>
        <w:t>负责。</w:t>
      </w:r>
    </w:p>
    <w:p w14:paraId="243BDF7C">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6.</w:t>
      </w:r>
      <w:r>
        <w:rPr>
          <w:rFonts w:hint="eastAsia"/>
          <w:color w:val="auto"/>
          <w:lang w:val="en-US" w:eastAsia="zh-CN"/>
        </w:rPr>
        <w:t>乙方</w:t>
      </w:r>
      <w:r>
        <w:rPr>
          <w:rFonts w:hint="default"/>
          <w:color w:val="auto"/>
          <w:lang w:val="en-US" w:eastAsia="zh-CN"/>
        </w:rPr>
        <w:t>不得将</w:t>
      </w:r>
      <w:r>
        <w:rPr>
          <w:rFonts w:hint="eastAsia"/>
          <w:color w:val="auto"/>
          <w:lang w:val="en-US" w:eastAsia="zh-CN"/>
        </w:rPr>
        <w:t>本合同</w:t>
      </w:r>
      <w:r>
        <w:rPr>
          <w:rFonts w:hint="default"/>
          <w:color w:val="auto"/>
          <w:lang w:val="en-US" w:eastAsia="zh-CN"/>
        </w:rPr>
        <w:t>转包、分包，否则</w:t>
      </w:r>
      <w:r>
        <w:rPr>
          <w:rFonts w:hint="eastAsia"/>
          <w:color w:val="auto"/>
          <w:lang w:val="en-US" w:eastAsia="zh-CN"/>
        </w:rPr>
        <w:t>甲方</w:t>
      </w:r>
      <w:r>
        <w:rPr>
          <w:rFonts w:hint="default"/>
          <w:color w:val="auto"/>
          <w:lang w:val="en-US" w:eastAsia="zh-CN"/>
        </w:rPr>
        <w:t>有权单方终止合同，由此产生的一切经济损失由</w:t>
      </w:r>
      <w:r>
        <w:rPr>
          <w:rFonts w:hint="eastAsia"/>
          <w:color w:val="auto"/>
          <w:lang w:val="en-US" w:eastAsia="zh-CN"/>
        </w:rPr>
        <w:t>乙方</w:t>
      </w:r>
      <w:r>
        <w:rPr>
          <w:rFonts w:hint="default"/>
          <w:color w:val="auto"/>
          <w:lang w:val="en-US" w:eastAsia="zh-CN"/>
        </w:rPr>
        <w:t>自行承担。</w:t>
      </w:r>
    </w:p>
    <w:p w14:paraId="4B67ED9A">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7.</w:t>
      </w:r>
      <w:r>
        <w:rPr>
          <w:rFonts w:hint="default"/>
          <w:color w:val="auto"/>
          <w:lang w:val="en-US" w:eastAsia="zh-CN"/>
        </w:rPr>
        <w:t>由于</w:t>
      </w:r>
      <w:r>
        <w:rPr>
          <w:rFonts w:hint="eastAsia"/>
          <w:color w:val="auto"/>
          <w:lang w:val="en-US" w:eastAsia="zh-CN"/>
        </w:rPr>
        <w:t>甲方</w:t>
      </w:r>
      <w:r>
        <w:rPr>
          <w:rFonts w:hint="default"/>
          <w:color w:val="auto"/>
          <w:lang w:val="en-US" w:eastAsia="zh-CN"/>
        </w:rPr>
        <w:t>工作的特殊性，</w:t>
      </w:r>
      <w:r>
        <w:rPr>
          <w:rFonts w:hint="eastAsia"/>
          <w:color w:val="auto"/>
          <w:lang w:val="en-US" w:eastAsia="zh-CN"/>
        </w:rPr>
        <w:t>乙方</w:t>
      </w:r>
      <w:r>
        <w:rPr>
          <w:rFonts w:hint="default"/>
          <w:color w:val="auto"/>
          <w:lang w:val="en-US" w:eastAsia="zh-CN"/>
        </w:rPr>
        <w:t>应做好本单位工作人员的教育工作，遵守</w:t>
      </w:r>
      <w:r>
        <w:rPr>
          <w:rFonts w:hint="eastAsia"/>
          <w:color w:val="auto"/>
          <w:lang w:val="en-US" w:eastAsia="zh-CN"/>
        </w:rPr>
        <w:t>甲方</w:t>
      </w:r>
      <w:r>
        <w:rPr>
          <w:rFonts w:hint="default"/>
          <w:color w:val="auto"/>
          <w:lang w:val="en-US" w:eastAsia="zh-CN"/>
        </w:rPr>
        <w:t>各项规定。</w:t>
      </w:r>
    </w:p>
    <w:p w14:paraId="2C662272">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8.</w:t>
      </w:r>
      <w:r>
        <w:rPr>
          <w:rFonts w:hint="eastAsia"/>
          <w:color w:val="auto"/>
          <w:lang w:val="en-US" w:eastAsia="zh-CN"/>
        </w:rPr>
        <w:t>乙方</w:t>
      </w:r>
      <w:r>
        <w:rPr>
          <w:rFonts w:hint="default"/>
          <w:color w:val="auto"/>
          <w:lang w:val="en-US" w:eastAsia="zh-CN"/>
        </w:rPr>
        <w:t>除不可抗力，不得因其他任何理由延迟送货。</w:t>
      </w:r>
      <w:r>
        <w:rPr>
          <w:rFonts w:hint="eastAsia"/>
          <w:color w:val="auto"/>
          <w:lang w:val="en-US" w:eastAsia="zh-CN"/>
        </w:rPr>
        <w:t>甲方</w:t>
      </w:r>
      <w:r>
        <w:rPr>
          <w:rFonts w:hint="default"/>
          <w:color w:val="auto"/>
          <w:lang w:val="en-US" w:eastAsia="zh-CN"/>
        </w:rPr>
        <w:t>如遇特殊情况需推迟送货，应提前通知</w:t>
      </w:r>
      <w:r>
        <w:rPr>
          <w:rFonts w:hint="eastAsia"/>
          <w:color w:val="auto"/>
          <w:lang w:val="en-US" w:eastAsia="zh-CN"/>
        </w:rPr>
        <w:t>乙方</w:t>
      </w:r>
      <w:r>
        <w:rPr>
          <w:rFonts w:hint="default"/>
          <w:color w:val="auto"/>
          <w:lang w:val="en-US" w:eastAsia="zh-CN"/>
        </w:rPr>
        <w:t>。因</w:t>
      </w:r>
      <w:r>
        <w:rPr>
          <w:rFonts w:hint="eastAsia"/>
          <w:color w:val="auto"/>
          <w:lang w:val="en-US" w:eastAsia="zh-CN"/>
        </w:rPr>
        <w:t>乙方</w:t>
      </w:r>
      <w:r>
        <w:rPr>
          <w:rFonts w:hint="default"/>
          <w:color w:val="auto"/>
          <w:lang w:val="en-US" w:eastAsia="zh-CN"/>
        </w:rPr>
        <w:t>原因延误交货日期的（</w:t>
      </w:r>
      <w:r>
        <w:rPr>
          <w:rFonts w:hint="eastAsia"/>
          <w:color w:val="auto"/>
          <w:lang w:val="en-US" w:eastAsia="zh-CN"/>
        </w:rPr>
        <w:t>甲方</w:t>
      </w:r>
      <w:r>
        <w:rPr>
          <w:rFonts w:hint="default"/>
          <w:color w:val="auto"/>
          <w:lang w:val="en-US" w:eastAsia="zh-CN"/>
        </w:rPr>
        <w:t>要求推迟的除外），</w:t>
      </w:r>
      <w:r>
        <w:rPr>
          <w:rFonts w:hint="eastAsia"/>
          <w:color w:val="auto"/>
          <w:lang w:val="en-US" w:eastAsia="zh-CN"/>
        </w:rPr>
        <w:t>甲方</w:t>
      </w:r>
      <w:r>
        <w:rPr>
          <w:rFonts w:hint="default"/>
          <w:color w:val="auto"/>
          <w:lang w:val="en-US" w:eastAsia="zh-CN"/>
        </w:rPr>
        <w:t>有权自行采购，并由</w:t>
      </w:r>
      <w:r>
        <w:rPr>
          <w:rFonts w:hint="eastAsia"/>
          <w:color w:val="auto"/>
          <w:lang w:val="en-US" w:eastAsia="zh-CN"/>
        </w:rPr>
        <w:t>乙方</w:t>
      </w:r>
      <w:r>
        <w:rPr>
          <w:rFonts w:hint="default"/>
          <w:color w:val="auto"/>
          <w:lang w:val="en-US" w:eastAsia="zh-CN"/>
        </w:rPr>
        <w:t>承担由此产生的一切损失和费用。</w:t>
      </w:r>
    </w:p>
    <w:p w14:paraId="05BE3307">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9.</w:t>
      </w:r>
      <w:r>
        <w:rPr>
          <w:rFonts w:hint="eastAsia"/>
          <w:color w:val="auto"/>
          <w:lang w:val="en-US" w:eastAsia="zh-CN"/>
        </w:rPr>
        <w:t>乙方</w:t>
      </w:r>
      <w:r>
        <w:rPr>
          <w:rFonts w:hint="default"/>
          <w:color w:val="auto"/>
          <w:lang w:val="en-US" w:eastAsia="zh-CN"/>
        </w:rPr>
        <w:t>不得变更供应商品，应严格按</w:t>
      </w:r>
      <w:r>
        <w:rPr>
          <w:rFonts w:hint="eastAsia"/>
          <w:color w:val="auto"/>
          <w:lang w:val="en-US" w:eastAsia="zh-CN"/>
        </w:rPr>
        <w:t>甲方</w:t>
      </w:r>
      <w:r>
        <w:rPr>
          <w:rFonts w:hint="default"/>
          <w:color w:val="auto"/>
          <w:lang w:val="en-US" w:eastAsia="zh-CN"/>
        </w:rPr>
        <w:t>要求供应，否则，</w:t>
      </w:r>
      <w:r>
        <w:rPr>
          <w:rFonts w:hint="eastAsia"/>
          <w:color w:val="auto"/>
          <w:lang w:val="en-US" w:eastAsia="zh-CN"/>
        </w:rPr>
        <w:t>甲方</w:t>
      </w:r>
      <w:r>
        <w:rPr>
          <w:rFonts w:hint="default"/>
          <w:color w:val="auto"/>
          <w:lang w:val="en-US" w:eastAsia="zh-CN"/>
        </w:rPr>
        <w:t>有权拒收。如因市场流通问题确实需要变更的，应</w:t>
      </w:r>
      <w:r>
        <w:rPr>
          <w:rFonts w:hint="eastAsia"/>
          <w:color w:val="auto"/>
          <w:lang w:val="en-US" w:eastAsia="zh-CN"/>
        </w:rPr>
        <w:t>征得甲方同意</w:t>
      </w:r>
      <w:r>
        <w:rPr>
          <w:rFonts w:hint="default"/>
          <w:color w:val="auto"/>
          <w:lang w:val="en-US" w:eastAsia="zh-CN"/>
        </w:rPr>
        <w:t>。</w:t>
      </w:r>
    </w:p>
    <w:p w14:paraId="78D67442">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10.</w:t>
      </w:r>
      <w:r>
        <w:rPr>
          <w:rFonts w:hint="eastAsia"/>
          <w:color w:val="auto"/>
          <w:lang w:val="en-US" w:eastAsia="zh-CN"/>
        </w:rPr>
        <w:t>甲方</w:t>
      </w:r>
      <w:r>
        <w:rPr>
          <w:rFonts w:hint="default"/>
          <w:color w:val="auto"/>
          <w:lang w:val="en-US" w:eastAsia="zh-CN"/>
        </w:rPr>
        <w:t>按合同对商品进行验收，对不符合规格要求的商品，</w:t>
      </w:r>
      <w:r>
        <w:rPr>
          <w:rFonts w:hint="eastAsia"/>
          <w:color w:val="auto"/>
          <w:lang w:val="en-US" w:eastAsia="zh-CN"/>
        </w:rPr>
        <w:t>乙方</w:t>
      </w:r>
      <w:r>
        <w:rPr>
          <w:rFonts w:hint="default"/>
          <w:color w:val="auto"/>
          <w:lang w:val="en-US" w:eastAsia="zh-CN"/>
        </w:rPr>
        <w:t>必须无条件退换货；</w:t>
      </w:r>
      <w:r>
        <w:rPr>
          <w:rFonts w:hint="eastAsia"/>
          <w:color w:val="auto"/>
          <w:lang w:val="en-US" w:eastAsia="zh-CN"/>
        </w:rPr>
        <w:t>乙方</w:t>
      </w:r>
      <w:r>
        <w:rPr>
          <w:rFonts w:hint="default"/>
          <w:color w:val="auto"/>
          <w:lang w:val="en-US" w:eastAsia="zh-CN"/>
        </w:rPr>
        <w:t>未能履行合同所定事项，或供应不合格的、假冒伪劣、以次充好的商品，</w:t>
      </w:r>
      <w:r>
        <w:rPr>
          <w:rFonts w:hint="eastAsia"/>
          <w:color w:val="auto"/>
          <w:lang w:val="en-US" w:eastAsia="zh-CN"/>
        </w:rPr>
        <w:t>甲方</w:t>
      </w:r>
      <w:r>
        <w:rPr>
          <w:rFonts w:hint="default"/>
          <w:color w:val="auto"/>
          <w:lang w:val="en-US" w:eastAsia="zh-CN"/>
        </w:rPr>
        <w:t>退货后将记录在案，并对</w:t>
      </w:r>
      <w:r>
        <w:rPr>
          <w:rFonts w:hint="eastAsia"/>
          <w:color w:val="auto"/>
          <w:lang w:val="en-US" w:eastAsia="zh-CN"/>
        </w:rPr>
        <w:t>乙方</w:t>
      </w:r>
      <w:r>
        <w:rPr>
          <w:rFonts w:hint="default"/>
          <w:color w:val="auto"/>
          <w:lang w:val="en-US" w:eastAsia="zh-CN"/>
        </w:rPr>
        <w:t>予以处罚，除要承担因此产生的一切损失和费用外，情节严重的可取消其供应资格。</w:t>
      </w:r>
    </w:p>
    <w:p w14:paraId="7C4D7EDD">
      <w:pPr>
        <w:bidi w:val="0"/>
        <w:rPr>
          <w:rFonts w:hint="default"/>
          <w:b/>
          <w:bCs/>
          <w:color w:val="auto"/>
          <w:lang w:val="en-US" w:eastAsia="zh-CN"/>
        </w:rPr>
      </w:pPr>
      <w:bookmarkStart w:id="31" w:name="_Toc24122"/>
      <w:r>
        <w:rPr>
          <w:rFonts w:hint="eastAsia"/>
          <w:b/>
          <w:bCs/>
          <w:color w:val="auto"/>
          <w:lang w:val="en-US" w:eastAsia="zh-CN"/>
        </w:rPr>
        <w:t>（三）</w:t>
      </w:r>
      <w:r>
        <w:rPr>
          <w:rFonts w:hint="default"/>
          <w:b/>
          <w:bCs/>
          <w:color w:val="auto"/>
          <w:lang w:val="en-US" w:eastAsia="zh-CN"/>
        </w:rPr>
        <w:t>食品品质要求</w:t>
      </w:r>
      <w:bookmarkEnd w:id="31"/>
    </w:p>
    <w:p w14:paraId="003ECC2D">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1.</w:t>
      </w:r>
      <w:r>
        <w:rPr>
          <w:rFonts w:hint="default"/>
          <w:color w:val="auto"/>
          <w:lang w:val="en-US" w:eastAsia="zh-CN"/>
        </w:rPr>
        <w:t>水果品质要求：确保提供的食品符合国家有关食品安全卫生标准。水果新鲜，无添加，可食用率98%；水分充足，无空壳，皱皮，干涩现象；色泽：</w:t>
      </w:r>
      <w:r>
        <w:rPr>
          <w:rFonts w:hint="eastAsia" w:ascii="宋体" w:eastAsia="宋体"/>
          <w:color w:val="auto"/>
          <w:lang w:val="en-US" w:eastAsia="zh-CN"/>
        </w:rPr>
        <w:t>鲜</w:t>
      </w:r>
      <w:r>
        <w:rPr>
          <w:rFonts w:hint="default"/>
          <w:color w:val="auto"/>
          <w:lang w:val="en-US" w:eastAsia="zh-CN"/>
        </w:rPr>
        <w:t>艳，光亮，无变色；硬度：饱满，充实，软硬适中；相同新鲜条件下无外力造成的伤害，如：挤伤、压伤、碰伤、切口，裂伤等；病虫害：无不良病虫害，表面，中间无虫卵遗留，无虫眼；形状：曲线</w:t>
      </w:r>
      <w:r>
        <w:rPr>
          <w:rFonts w:hint="eastAsia" w:ascii="宋体" w:eastAsia="宋体"/>
          <w:color w:val="auto"/>
          <w:lang w:val="en-US" w:eastAsia="zh-CN"/>
        </w:rPr>
        <w:t>协</w:t>
      </w:r>
      <w:r>
        <w:rPr>
          <w:rFonts w:hint="default"/>
          <w:color w:val="auto"/>
          <w:lang w:val="en-US" w:eastAsia="zh-CN"/>
        </w:rPr>
        <w:t>调，外形优美，果实硕大，无不良图案及异状；成熟度：适中，无过熟，未熟现象；污染：无污染残留农药，提供农药残留检验报告。</w:t>
      </w:r>
    </w:p>
    <w:p w14:paraId="408EE8C4">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2.</w:t>
      </w:r>
      <w:r>
        <w:rPr>
          <w:rFonts w:hint="default"/>
          <w:color w:val="auto"/>
          <w:lang w:val="en-US" w:eastAsia="zh-CN"/>
        </w:rPr>
        <w:t>其余食品品质要求：确保提供的食品符合国家有关食品安全卫生标准。保质、保量、保鲜，严禁配送假冒、变质、过期、临期的产品，保证供应的食品均为正规生产，要使用有效期的食品，必须保证三分之二以上保质期。不得出现以次品充好等情况。</w:t>
      </w:r>
    </w:p>
    <w:p w14:paraId="416396E5">
      <w:pPr>
        <w:bidi w:val="0"/>
        <w:rPr>
          <w:rFonts w:hint="default"/>
          <w:b/>
          <w:bCs/>
          <w:color w:val="auto"/>
          <w:lang w:val="en-US" w:eastAsia="zh-CN"/>
        </w:rPr>
      </w:pPr>
      <w:bookmarkStart w:id="32" w:name="_Toc11461"/>
      <w:r>
        <w:rPr>
          <w:rFonts w:hint="eastAsia"/>
          <w:b/>
          <w:bCs/>
          <w:color w:val="auto"/>
          <w:lang w:val="en-US" w:eastAsia="zh-CN"/>
        </w:rPr>
        <w:t>（四）</w:t>
      </w:r>
      <w:r>
        <w:rPr>
          <w:rFonts w:hint="default"/>
          <w:b/>
          <w:bCs/>
          <w:color w:val="auto"/>
          <w:lang w:val="en-US" w:eastAsia="zh-CN"/>
        </w:rPr>
        <w:t>食品配送要求</w:t>
      </w:r>
      <w:bookmarkEnd w:id="32"/>
    </w:p>
    <w:p w14:paraId="1726B9F0">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1.</w:t>
      </w:r>
      <w:r>
        <w:rPr>
          <w:rFonts w:hint="default"/>
          <w:color w:val="auto"/>
          <w:lang w:val="en-US" w:eastAsia="zh-CN"/>
        </w:rPr>
        <w:t>送货方式：每次根据</w:t>
      </w:r>
      <w:r>
        <w:rPr>
          <w:rFonts w:hint="eastAsia"/>
          <w:color w:val="auto"/>
          <w:lang w:val="en-US" w:eastAsia="zh-CN"/>
        </w:rPr>
        <w:t>甲方</w:t>
      </w:r>
      <w:r>
        <w:rPr>
          <w:rFonts w:hint="default"/>
          <w:color w:val="auto"/>
          <w:lang w:val="en-US" w:eastAsia="zh-CN"/>
        </w:rPr>
        <w:t>的电话或其它方式通知订购品种、数量后，按时运送物品到指定地点，</w:t>
      </w:r>
      <w:r>
        <w:rPr>
          <w:rFonts w:hint="eastAsia"/>
          <w:color w:val="auto"/>
          <w:lang w:val="en-US" w:eastAsia="zh-CN"/>
        </w:rPr>
        <w:t>乙方</w:t>
      </w:r>
      <w:r>
        <w:rPr>
          <w:rFonts w:hint="default"/>
          <w:color w:val="auto"/>
          <w:lang w:val="en-US" w:eastAsia="zh-CN"/>
        </w:rPr>
        <w:t>随货提供注明货物名称、单位、数量、售价及总金额的商品送货清单，作为</w:t>
      </w:r>
      <w:r>
        <w:rPr>
          <w:rFonts w:hint="eastAsia"/>
          <w:color w:val="auto"/>
          <w:lang w:val="en-US" w:eastAsia="zh-CN"/>
        </w:rPr>
        <w:t>甲方</w:t>
      </w:r>
      <w:r>
        <w:rPr>
          <w:rFonts w:hint="default"/>
          <w:color w:val="auto"/>
          <w:lang w:val="en-US" w:eastAsia="zh-CN"/>
        </w:rPr>
        <w:t>入库验收之凭证。</w:t>
      </w:r>
    </w:p>
    <w:p w14:paraId="54F0EAA0">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2.</w:t>
      </w:r>
      <w:r>
        <w:rPr>
          <w:rFonts w:hint="default"/>
          <w:color w:val="auto"/>
          <w:lang w:val="en-US" w:eastAsia="zh-CN"/>
        </w:rPr>
        <w:t>交货地点：东莞市救助管理站。</w:t>
      </w:r>
    </w:p>
    <w:p w14:paraId="49D0805D">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3.</w:t>
      </w:r>
      <w:r>
        <w:rPr>
          <w:rFonts w:hint="default"/>
          <w:color w:val="auto"/>
          <w:lang w:val="en-US" w:eastAsia="zh-CN"/>
        </w:rPr>
        <w:t>包装与标志要求：包装：容器(框、箱、袋)要求清洁、干燥、牢固、透气，无污染、无异味、无霉变现象。标志：每件包装必须按产品标识的有关规定贴标签，并标明产地、品种、净含量、生产单位及地址。</w:t>
      </w:r>
    </w:p>
    <w:p w14:paraId="0861B36C">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4.</w:t>
      </w:r>
      <w:r>
        <w:rPr>
          <w:rFonts w:hint="default"/>
          <w:color w:val="auto"/>
          <w:lang w:val="en-US" w:eastAsia="zh-CN"/>
        </w:rPr>
        <w:t>运输要求：</w:t>
      </w:r>
      <w:r>
        <w:rPr>
          <w:rFonts w:hint="eastAsia"/>
          <w:color w:val="auto"/>
          <w:lang w:val="en-US" w:eastAsia="zh-CN"/>
        </w:rPr>
        <w:t>乙方</w:t>
      </w:r>
      <w:r>
        <w:rPr>
          <w:rFonts w:hint="default"/>
          <w:color w:val="auto"/>
          <w:lang w:val="en-US" w:eastAsia="zh-CN"/>
        </w:rPr>
        <w:t>应为本项目投入不少于</w:t>
      </w:r>
      <w:r>
        <w:rPr>
          <w:rFonts w:hint="eastAsia"/>
          <w:color w:val="auto"/>
          <w:lang w:val="en-US" w:eastAsia="zh-CN"/>
        </w:rPr>
        <w:t>1</w:t>
      </w:r>
      <w:r>
        <w:rPr>
          <w:rFonts w:hint="default"/>
          <w:color w:val="auto"/>
          <w:lang w:val="en-US" w:eastAsia="zh-CN"/>
        </w:rPr>
        <w:t>台运输车、3位服务人员（含接单员、送货驾驶员、配送员等），食品储存仓库需满足</w:t>
      </w:r>
      <w:r>
        <w:rPr>
          <w:rFonts w:hint="eastAsia"/>
          <w:color w:val="auto"/>
          <w:lang w:val="en-US" w:eastAsia="zh-CN"/>
        </w:rPr>
        <w:t>甲方</w:t>
      </w:r>
      <w:r>
        <w:rPr>
          <w:rFonts w:hint="default"/>
          <w:color w:val="auto"/>
          <w:lang w:val="en-US" w:eastAsia="zh-CN"/>
        </w:rPr>
        <w:t>的供货需求，运输工具应清洁卫生无污染，具备消毒设备如紫外线灯、臭氧机等；食品运输必须采用符合卫生标准的外包装和运载工具，并且要保持清洁和定期消毒；运输车厢的内仓，包括地面、墙面和顶，应使用抗腐蚀、防潮，易清洁消毒的材料；车厢内无不良气味、异味；运输途中严防日晒、雨淋，注意通风散热；水果应小心轻卸，严防机械损伤。食品堆放科学合理，避免造成食品的交叉污染；如对温度有要求的食品应确定食品的温度，记录送货车辆温度，并记录存档。</w:t>
      </w:r>
    </w:p>
    <w:p w14:paraId="519AC0B6">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5.</w:t>
      </w:r>
      <w:r>
        <w:rPr>
          <w:rFonts w:hint="default"/>
          <w:color w:val="auto"/>
          <w:lang w:val="en-US" w:eastAsia="zh-CN"/>
        </w:rPr>
        <w:t>数量方面要求：保证配送品种斤两的准确性，以</w:t>
      </w:r>
      <w:r>
        <w:rPr>
          <w:rFonts w:hint="eastAsia"/>
          <w:color w:val="auto"/>
          <w:lang w:val="en-US" w:eastAsia="zh-CN"/>
        </w:rPr>
        <w:t>甲方</w:t>
      </w:r>
      <w:r>
        <w:rPr>
          <w:rFonts w:hint="default"/>
          <w:color w:val="auto"/>
          <w:lang w:val="en-US" w:eastAsia="zh-CN"/>
        </w:rPr>
        <w:t>的验货数量为准，</w:t>
      </w:r>
      <w:r>
        <w:rPr>
          <w:rFonts w:hint="eastAsia"/>
          <w:color w:val="auto"/>
          <w:lang w:val="en-US" w:eastAsia="zh-CN"/>
        </w:rPr>
        <w:t>乙方</w:t>
      </w:r>
      <w:r>
        <w:rPr>
          <w:rFonts w:hint="default"/>
          <w:color w:val="auto"/>
          <w:lang w:val="en-US" w:eastAsia="zh-CN"/>
        </w:rPr>
        <w:t>每次随货送上送货清单，验货后签字确认。</w:t>
      </w:r>
    </w:p>
    <w:p w14:paraId="45A76F30">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6.</w:t>
      </w:r>
      <w:r>
        <w:rPr>
          <w:rFonts w:hint="default"/>
          <w:color w:val="auto"/>
          <w:lang w:val="en-US" w:eastAsia="zh-CN"/>
        </w:rPr>
        <w:t>每次根据</w:t>
      </w:r>
      <w:r>
        <w:rPr>
          <w:rFonts w:hint="eastAsia"/>
          <w:color w:val="auto"/>
          <w:lang w:val="en-US" w:eastAsia="zh-CN"/>
        </w:rPr>
        <w:t>甲方</w:t>
      </w:r>
      <w:r>
        <w:rPr>
          <w:rFonts w:hint="default"/>
          <w:color w:val="auto"/>
          <w:lang w:val="en-US" w:eastAsia="zh-CN"/>
        </w:rPr>
        <w:t>的通知订购品种和数量后，24小时内送货，具体送货时间由</w:t>
      </w:r>
      <w:r>
        <w:rPr>
          <w:rFonts w:hint="eastAsia"/>
          <w:color w:val="auto"/>
          <w:lang w:val="en-US" w:eastAsia="zh-CN"/>
        </w:rPr>
        <w:t>甲方</w:t>
      </w:r>
      <w:r>
        <w:rPr>
          <w:rFonts w:hint="default"/>
          <w:color w:val="auto"/>
          <w:lang w:val="en-US" w:eastAsia="zh-CN"/>
        </w:rPr>
        <w:t>通知时约定，由</w:t>
      </w:r>
      <w:r>
        <w:rPr>
          <w:rFonts w:hint="eastAsia"/>
          <w:color w:val="auto"/>
          <w:lang w:val="en-US" w:eastAsia="zh-CN"/>
        </w:rPr>
        <w:t>甲方</w:t>
      </w:r>
      <w:r>
        <w:rPr>
          <w:rFonts w:hint="default"/>
          <w:color w:val="auto"/>
          <w:lang w:val="en-US" w:eastAsia="zh-CN"/>
        </w:rPr>
        <w:t>指定负责人验收过秤记录。对于不符合质量的品种</w:t>
      </w:r>
      <w:r>
        <w:rPr>
          <w:rFonts w:hint="eastAsia"/>
          <w:color w:val="auto"/>
          <w:lang w:val="en-US" w:eastAsia="zh-CN"/>
        </w:rPr>
        <w:t>甲方</w:t>
      </w:r>
      <w:r>
        <w:rPr>
          <w:rFonts w:hint="default"/>
          <w:color w:val="auto"/>
          <w:lang w:val="en-US" w:eastAsia="zh-CN"/>
        </w:rPr>
        <w:t>可退货或换货（由于产品质量而造成人员发生安全事故时，</w:t>
      </w:r>
      <w:r>
        <w:rPr>
          <w:rFonts w:hint="eastAsia"/>
          <w:color w:val="auto"/>
          <w:lang w:val="en-US" w:eastAsia="zh-CN"/>
        </w:rPr>
        <w:t>乙方</w:t>
      </w:r>
      <w:r>
        <w:rPr>
          <w:rFonts w:hint="default"/>
          <w:color w:val="auto"/>
          <w:lang w:val="en-US" w:eastAsia="zh-CN"/>
        </w:rPr>
        <w:t>须承担全部责任）。</w:t>
      </w:r>
    </w:p>
    <w:p w14:paraId="7FD232AD">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7.</w:t>
      </w:r>
      <w:r>
        <w:rPr>
          <w:rFonts w:hint="default"/>
          <w:color w:val="auto"/>
          <w:lang w:val="en-US" w:eastAsia="zh-CN"/>
        </w:rPr>
        <w:t>对</w:t>
      </w:r>
      <w:r>
        <w:rPr>
          <w:rFonts w:hint="eastAsia"/>
          <w:color w:val="auto"/>
          <w:lang w:val="en-US" w:eastAsia="zh-CN"/>
        </w:rPr>
        <w:t>甲方</w:t>
      </w:r>
      <w:r>
        <w:rPr>
          <w:rFonts w:hint="default"/>
          <w:color w:val="auto"/>
          <w:lang w:val="en-US" w:eastAsia="zh-CN"/>
        </w:rPr>
        <w:t>临时的供货要求，需随订随送，至少在2个小时内响应。</w:t>
      </w:r>
      <w:r>
        <w:rPr>
          <w:rFonts w:hint="eastAsia"/>
          <w:color w:val="auto"/>
          <w:lang w:val="en-US" w:eastAsia="zh-CN"/>
        </w:rPr>
        <w:t>乙方</w:t>
      </w:r>
      <w:r>
        <w:rPr>
          <w:rFonts w:hint="default"/>
          <w:color w:val="auto"/>
          <w:lang w:val="en-US" w:eastAsia="zh-CN"/>
        </w:rPr>
        <w:t>在实施货物供货期间，不得将供货的实际数量及供货地点泄露给其他企业或者个人，</w:t>
      </w:r>
      <w:r>
        <w:rPr>
          <w:rFonts w:hint="eastAsia"/>
          <w:color w:val="auto"/>
          <w:lang w:val="en-US" w:eastAsia="zh-CN"/>
        </w:rPr>
        <w:t>乙方</w:t>
      </w:r>
      <w:r>
        <w:rPr>
          <w:rFonts w:hint="default"/>
          <w:color w:val="auto"/>
          <w:lang w:val="en-US" w:eastAsia="zh-CN"/>
        </w:rPr>
        <w:t>必须指派相对固定的人员完成货物配送服务，并需将配送人员的详细资料报</w:t>
      </w:r>
      <w:r>
        <w:rPr>
          <w:rFonts w:hint="eastAsia"/>
          <w:color w:val="auto"/>
          <w:lang w:val="en-US" w:eastAsia="zh-CN"/>
        </w:rPr>
        <w:t>甲方</w:t>
      </w:r>
      <w:r>
        <w:rPr>
          <w:rFonts w:hint="default"/>
          <w:color w:val="auto"/>
          <w:lang w:val="en-US" w:eastAsia="zh-CN"/>
        </w:rPr>
        <w:t>备案，货物配送人员必须遵纪守法、品行良好，无违法犯罪记录。如需要更换配送人员，必须事先通知</w:t>
      </w:r>
      <w:r>
        <w:rPr>
          <w:rFonts w:hint="eastAsia"/>
          <w:color w:val="auto"/>
          <w:lang w:val="en-US" w:eastAsia="zh-CN"/>
        </w:rPr>
        <w:t>甲方</w:t>
      </w:r>
      <w:r>
        <w:rPr>
          <w:rFonts w:hint="default"/>
          <w:color w:val="auto"/>
          <w:lang w:val="en-US" w:eastAsia="zh-CN"/>
        </w:rPr>
        <w:t>并将其个人资料送</w:t>
      </w:r>
      <w:r>
        <w:rPr>
          <w:rFonts w:hint="eastAsia"/>
          <w:color w:val="auto"/>
          <w:lang w:val="en-US" w:eastAsia="zh-CN"/>
        </w:rPr>
        <w:t>甲方</w:t>
      </w:r>
      <w:r>
        <w:rPr>
          <w:rFonts w:hint="default"/>
          <w:color w:val="auto"/>
          <w:lang w:val="en-US" w:eastAsia="zh-CN"/>
        </w:rPr>
        <w:t>备案。</w:t>
      </w:r>
    </w:p>
    <w:p w14:paraId="57C56D27">
      <w:pPr>
        <w:bidi w:val="0"/>
        <w:rPr>
          <w:rFonts w:hint="default"/>
          <w:b/>
          <w:bCs/>
          <w:color w:val="auto"/>
          <w:lang w:val="en-US" w:eastAsia="zh-CN"/>
        </w:rPr>
      </w:pPr>
      <w:r>
        <w:rPr>
          <w:rFonts w:hint="eastAsia" w:ascii="宋体" w:eastAsia="宋体"/>
          <w:b/>
          <w:bCs/>
          <w:color w:val="auto"/>
          <w:lang w:val="en-US" w:eastAsia="zh-CN"/>
        </w:rPr>
        <w:t>（五）</w:t>
      </w:r>
      <w:r>
        <w:rPr>
          <w:rFonts w:hint="default"/>
          <w:b/>
          <w:bCs/>
          <w:color w:val="auto"/>
          <w:lang w:val="en-US" w:eastAsia="zh-CN"/>
        </w:rPr>
        <w:t>食品安全保障措施</w:t>
      </w:r>
    </w:p>
    <w:p w14:paraId="3930795A">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1.</w:t>
      </w:r>
      <w:r>
        <w:rPr>
          <w:rFonts w:hint="eastAsia"/>
          <w:color w:val="auto"/>
          <w:lang w:val="en-US" w:eastAsia="zh-CN"/>
        </w:rPr>
        <w:t>乙方</w:t>
      </w:r>
      <w:r>
        <w:rPr>
          <w:rFonts w:hint="default"/>
          <w:color w:val="auto"/>
          <w:lang w:val="en-US" w:eastAsia="zh-CN"/>
        </w:rPr>
        <w:t>必须遵守国家规定的《食品安全法》、《农产品质量安全法》等法律和行政法规的规定，提供的货品必须符合国家有关卫生标准，保质、保量、保鲜，严禁配送假冒、变质、过期的产品。</w:t>
      </w:r>
    </w:p>
    <w:p w14:paraId="4929A800">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2.</w:t>
      </w:r>
      <w:r>
        <w:rPr>
          <w:rFonts w:hint="eastAsia"/>
          <w:color w:val="auto"/>
          <w:lang w:val="en-US" w:eastAsia="zh-CN"/>
        </w:rPr>
        <w:t>乙方</w:t>
      </w:r>
      <w:r>
        <w:rPr>
          <w:rFonts w:hint="default"/>
          <w:color w:val="auto"/>
          <w:lang w:val="en-US" w:eastAsia="zh-CN"/>
        </w:rPr>
        <w:t>须对</w:t>
      </w:r>
      <w:r>
        <w:rPr>
          <w:rFonts w:hint="eastAsia"/>
          <w:color w:val="auto"/>
          <w:lang w:val="en-US" w:eastAsia="zh-CN"/>
        </w:rPr>
        <w:t>甲方</w:t>
      </w:r>
      <w:r>
        <w:rPr>
          <w:rFonts w:hint="default"/>
          <w:color w:val="auto"/>
          <w:lang w:val="en-US" w:eastAsia="zh-CN"/>
        </w:rPr>
        <w:t>购买的食品分类用器具装载，不得混装，运输过程应采取相应的保鲜防护措施。</w:t>
      </w:r>
    </w:p>
    <w:p w14:paraId="3D8A2062">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3.</w:t>
      </w:r>
      <w:r>
        <w:rPr>
          <w:rFonts w:hint="default"/>
          <w:color w:val="auto"/>
          <w:lang w:val="en-US" w:eastAsia="zh-CN"/>
        </w:rPr>
        <w:t>如因</w:t>
      </w:r>
      <w:r>
        <w:rPr>
          <w:rFonts w:hint="eastAsia"/>
          <w:color w:val="auto"/>
          <w:lang w:val="en-US" w:eastAsia="zh-CN"/>
        </w:rPr>
        <w:t>乙方</w:t>
      </w:r>
      <w:r>
        <w:rPr>
          <w:rFonts w:hint="default"/>
          <w:color w:val="auto"/>
          <w:lang w:val="en-US" w:eastAsia="zh-CN"/>
        </w:rPr>
        <w:t>所送的食品引起食用的人身体不适、发生食物中毒等问题，经市级质量检验部门确定后是</w:t>
      </w:r>
      <w:r>
        <w:rPr>
          <w:rFonts w:hint="eastAsia"/>
          <w:color w:val="auto"/>
          <w:lang w:val="en-US" w:eastAsia="zh-CN"/>
        </w:rPr>
        <w:t>乙方</w:t>
      </w:r>
      <w:r>
        <w:rPr>
          <w:rFonts w:hint="default"/>
          <w:color w:val="auto"/>
          <w:lang w:val="en-US" w:eastAsia="zh-CN"/>
        </w:rPr>
        <w:t>的责任，由</w:t>
      </w:r>
      <w:r>
        <w:rPr>
          <w:rFonts w:hint="eastAsia"/>
          <w:color w:val="auto"/>
          <w:lang w:val="en-US" w:eastAsia="zh-CN"/>
        </w:rPr>
        <w:t>乙方</w:t>
      </w:r>
      <w:r>
        <w:rPr>
          <w:rFonts w:hint="default"/>
          <w:color w:val="auto"/>
          <w:lang w:val="en-US" w:eastAsia="zh-CN"/>
        </w:rPr>
        <w:t>承担全部经济赔偿与法律责任。</w:t>
      </w:r>
    </w:p>
    <w:p w14:paraId="6ADEF3CF">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4.</w:t>
      </w:r>
      <w:r>
        <w:rPr>
          <w:rFonts w:hint="eastAsia"/>
          <w:color w:val="auto"/>
          <w:lang w:val="en-US" w:eastAsia="zh-CN"/>
        </w:rPr>
        <w:t>乙方应</w:t>
      </w:r>
      <w:r>
        <w:rPr>
          <w:rFonts w:hint="default"/>
          <w:color w:val="auto"/>
          <w:lang w:val="en-US" w:eastAsia="zh-CN"/>
        </w:rPr>
        <w:t>保证供应的食品均为正规生产的检验合格、无毒、无辐射、无侵权货品符合国家有关卫生、质量、包装和保质标准，要使用有效期的食品，食品须标明规格、产地、品种、净含量等，所有食品做到可溯源。</w:t>
      </w:r>
    </w:p>
    <w:p w14:paraId="3E120222">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5.</w:t>
      </w:r>
      <w:r>
        <w:rPr>
          <w:rFonts w:hint="default"/>
          <w:color w:val="auto"/>
          <w:lang w:val="en-US" w:eastAsia="zh-CN"/>
        </w:rPr>
        <w:t>货物有包装的，货物的包装必须完整清洁（无损、无污、无皱），</w:t>
      </w:r>
      <w:r>
        <w:rPr>
          <w:rFonts w:hint="eastAsia"/>
          <w:color w:val="auto"/>
          <w:lang w:val="en-US" w:eastAsia="zh-CN"/>
        </w:rPr>
        <w:t>甲方</w:t>
      </w:r>
      <w:r>
        <w:rPr>
          <w:rFonts w:hint="default"/>
          <w:color w:val="auto"/>
          <w:lang w:val="en-US" w:eastAsia="zh-CN"/>
        </w:rPr>
        <w:t>有权拒收包装不整齐、已拆封的商品。</w:t>
      </w:r>
    </w:p>
    <w:p w14:paraId="2C5F9ECC">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6.</w:t>
      </w:r>
      <w:r>
        <w:rPr>
          <w:rFonts w:hint="eastAsia"/>
          <w:color w:val="auto"/>
          <w:lang w:val="en-US" w:eastAsia="zh-CN"/>
        </w:rPr>
        <w:t>甲方</w:t>
      </w:r>
      <w:r>
        <w:rPr>
          <w:rFonts w:hint="default"/>
          <w:color w:val="auto"/>
          <w:lang w:val="en-US" w:eastAsia="zh-CN"/>
        </w:rPr>
        <w:t>发现商品出现损坏（包括表面损坏），</w:t>
      </w:r>
      <w:r>
        <w:rPr>
          <w:rFonts w:hint="eastAsia"/>
          <w:color w:val="auto"/>
          <w:lang w:val="en-US" w:eastAsia="zh-CN"/>
        </w:rPr>
        <w:t>乙方</w:t>
      </w:r>
      <w:r>
        <w:rPr>
          <w:rFonts w:hint="default"/>
          <w:color w:val="auto"/>
          <w:lang w:val="en-US" w:eastAsia="zh-CN"/>
        </w:rPr>
        <w:t>必须无条件退货或更换商品。</w:t>
      </w:r>
    </w:p>
    <w:p w14:paraId="230A7044">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7.</w:t>
      </w:r>
      <w:r>
        <w:rPr>
          <w:rFonts w:hint="eastAsia"/>
          <w:color w:val="auto"/>
          <w:lang w:val="en-US" w:eastAsia="zh-CN"/>
        </w:rPr>
        <w:t>乙方</w:t>
      </w:r>
      <w:r>
        <w:rPr>
          <w:rFonts w:hint="default"/>
          <w:color w:val="auto"/>
          <w:lang w:val="en-US" w:eastAsia="zh-CN"/>
        </w:rPr>
        <w:t>提供假冒伪劣、过期、变质、涉疫食品的，</w:t>
      </w:r>
      <w:r>
        <w:rPr>
          <w:rFonts w:hint="eastAsia"/>
          <w:color w:val="auto"/>
          <w:lang w:val="en-US" w:eastAsia="zh-CN"/>
        </w:rPr>
        <w:t>甲方</w:t>
      </w:r>
      <w:r>
        <w:rPr>
          <w:rFonts w:hint="default"/>
          <w:color w:val="auto"/>
          <w:lang w:val="en-US" w:eastAsia="zh-CN"/>
        </w:rPr>
        <w:t>有权要求无条件退货或换货，</w:t>
      </w:r>
      <w:r>
        <w:rPr>
          <w:rFonts w:hint="eastAsia"/>
          <w:color w:val="auto"/>
          <w:lang w:val="en-US" w:eastAsia="zh-CN"/>
        </w:rPr>
        <w:t>乙方</w:t>
      </w:r>
      <w:r>
        <w:rPr>
          <w:rFonts w:hint="eastAsia" w:ascii="宋体" w:eastAsia="宋体"/>
          <w:color w:val="auto"/>
          <w:lang w:val="en-US" w:eastAsia="zh-CN"/>
        </w:rPr>
        <w:t>应全额赔偿</w:t>
      </w:r>
      <w:r>
        <w:rPr>
          <w:rFonts w:hint="eastAsia"/>
          <w:color w:val="auto"/>
          <w:lang w:val="en-US" w:eastAsia="zh-CN"/>
        </w:rPr>
        <w:t>甲方</w:t>
      </w:r>
      <w:r>
        <w:rPr>
          <w:rFonts w:hint="eastAsia" w:ascii="宋体" w:eastAsia="宋体"/>
          <w:color w:val="auto"/>
          <w:lang w:val="en-US" w:eastAsia="zh-CN"/>
        </w:rPr>
        <w:t>损失，并额外支付合同总金额5%的违约金。</w:t>
      </w:r>
      <w:r>
        <w:rPr>
          <w:rFonts w:hint="eastAsia"/>
          <w:color w:val="auto"/>
          <w:lang w:val="en-US" w:eastAsia="zh-CN"/>
        </w:rPr>
        <w:t>乙方</w:t>
      </w:r>
      <w:r>
        <w:rPr>
          <w:rFonts w:hint="default"/>
          <w:color w:val="auto"/>
          <w:lang w:val="en-US" w:eastAsia="zh-CN"/>
        </w:rPr>
        <w:t>若提供有毒食品，造成食品安全事故的，经有关单位鉴定原因后，如确实为</w:t>
      </w:r>
      <w:r>
        <w:rPr>
          <w:rFonts w:hint="eastAsia"/>
          <w:color w:val="auto"/>
          <w:lang w:val="en-US" w:eastAsia="zh-CN"/>
        </w:rPr>
        <w:t>乙方</w:t>
      </w:r>
      <w:r>
        <w:rPr>
          <w:rFonts w:hint="default"/>
          <w:color w:val="auto"/>
          <w:lang w:val="en-US" w:eastAsia="zh-CN"/>
        </w:rPr>
        <w:t>提供的食品问题，</w:t>
      </w:r>
      <w:r>
        <w:rPr>
          <w:rFonts w:hint="eastAsia"/>
          <w:color w:val="auto"/>
          <w:lang w:val="en-US" w:eastAsia="zh-CN"/>
        </w:rPr>
        <w:t>乙方</w:t>
      </w:r>
      <w:r>
        <w:rPr>
          <w:rFonts w:hint="default"/>
          <w:color w:val="auto"/>
          <w:lang w:val="en-US" w:eastAsia="zh-CN"/>
        </w:rPr>
        <w:t>须负担全数的医药费，</w:t>
      </w:r>
      <w:r>
        <w:rPr>
          <w:rFonts w:hint="eastAsia"/>
          <w:color w:val="auto"/>
          <w:lang w:val="en-US" w:eastAsia="zh-CN"/>
        </w:rPr>
        <w:t>甲方</w:t>
      </w:r>
      <w:r>
        <w:rPr>
          <w:rFonts w:hint="default"/>
          <w:color w:val="auto"/>
          <w:lang w:val="en-US" w:eastAsia="zh-CN"/>
        </w:rPr>
        <w:t>有权取消该</w:t>
      </w:r>
      <w:r>
        <w:rPr>
          <w:rFonts w:hint="eastAsia"/>
          <w:color w:val="auto"/>
          <w:lang w:val="en-US" w:eastAsia="zh-CN"/>
        </w:rPr>
        <w:t>乙方</w:t>
      </w:r>
      <w:r>
        <w:rPr>
          <w:rFonts w:hint="default"/>
          <w:color w:val="auto"/>
          <w:lang w:val="en-US" w:eastAsia="zh-CN"/>
        </w:rPr>
        <w:t>的供货资格，</w:t>
      </w:r>
      <w:r>
        <w:rPr>
          <w:rFonts w:hint="eastAsia"/>
          <w:color w:val="auto"/>
          <w:lang w:val="en-US" w:eastAsia="zh-CN"/>
        </w:rPr>
        <w:t>乙方</w:t>
      </w:r>
      <w:r>
        <w:rPr>
          <w:rFonts w:hint="default"/>
          <w:color w:val="auto"/>
          <w:lang w:val="en-US" w:eastAsia="zh-CN"/>
        </w:rPr>
        <w:t>同时承担相应的民事及刑事法律责任及放弃先诉抗辩权。</w:t>
      </w:r>
    </w:p>
    <w:p w14:paraId="3FFF85FF">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8.</w:t>
      </w:r>
      <w:r>
        <w:rPr>
          <w:rFonts w:hint="default"/>
          <w:color w:val="auto"/>
          <w:lang w:val="en-US" w:eastAsia="zh-CN"/>
        </w:rPr>
        <w:t>违约责任</w:t>
      </w:r>
    </w:p>
    <w:p w14:paraId="41D15A4A">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default"/>
          <w:color w:val="auto"/>
          <w:lang w:val="en-US" w:eastAsia="zh-CN"/>
        </w:rPr>
        <w:t>对供货期间出现下列情况之一的，</w:t>
      </w:r>
      <w:r>
        <w:rPr>
          <w:rFonts w:hint="eastAsia"/>
          <w:color w:val="auto"/>
          <w:lang w:val="en-US" w:eastAsia="zh-CN"/>
        </w:rPr>
        <w:t>甲方</w:t>
      </w:r>
      <w:r>
        <w:rPr>
          <w:rFonts w:hint="default"/>
          <w:color w:val="auto"/>
          <w:lang w:val="en-US" w:eastAsia="zh-CN"/>
        </w:rPr>
        <w:t>有权单方面解除合同：</w:t>
      </w:r>
    </w:p>
    <w:p w14:paraId="72C12E74">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（1）</w:t>
      </w:r>
      <w:r>
        <w:rPr>
          <w:rFonts w:hint="default"/>
          <w:color w:val="auto"/>
          <w:lang w:val="en-US" w:eastAsia="zh-CN"/>
        </w:rPr>
        <w:t>因配送食品问题，发生人员食物中毒等食品安全责任事故，且造成较为严重后果的。</w:t>
      </w:r>
    </w:p>
    <w:p w14:paraId="4BC740A0">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（2）</w:t>
      </w:r>
      <w:r>
        <w:rPr>
          <w:rFonts w:hint="default"/>
          <w:color w:val="auto"/>
          <w:lang w:val="en-US" w:eastAsia="zh-CN"/>
        </w:rPr>
        <w:t>在食品配送过程中，存在掺杂作假，销售劣质、有害过期或无证食品等违规行为，经</w:t>
      </w:r>
      <w:r>
        <w:rPr>
          <w:rFonts w:hint="eastAsia"/>
          <w:color w:val="auto"/>
          <w:lang w:val="en-US" w:eastAsia="zh-CN"/>
        </w:rPr>
        <w:t>甲方</w:t>
      </w:r>
      <w:r>
        <w:rPr>
          <w:rFonts w:hint="default"/>
          <w:color w:val="auto"/>
          <w:lang w:val="en-US" w:eastAsia="zh-CN"/>
        </w:rPr>
        <w:t>规劝，或市场监督管理部门要求整改依然无效的。</w:t>
      </w:r>
    </w:p>
    <w:p w14:paraId="2A05AB14">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（3）</w:t>
      </w:r>
      <w:r>
        <w:rPr>
          <w:rFonts w:hint="default"/>
          <w:color w:val="auto"/>
          <w:lang w:val="en-US" w:eastAsia="zh-CN"/>
        </w:rPr>
        <w:t>在招投标时以弄虚作假等欺诈手段获得准入资格的，或经营情况发生变化已不符合准入条件而又不改变的。</w:t>
      </w:r>
    </w:p>
    <w:p w14:paraId="51B8C958">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default"/>
          <w:color w:val="auto"/>
          <w:lang w:val="en-US" w:eastAsia="zh-CN"/>
        </w:rPr>
      </w:pPr>
      <w:r>
        <w:rPr>
          <w:rFonts w:hint="eastAsia" w:ascii="宋体" w:eastAsia="宋体"/>
          <w:color w:val="auto"/>
          <w:lang w:val="en-US" w:eastAsia="zh-CN"/>
        </w:rPr>
        <w:t>（4）</w:t>
      </w:r>
      <w:r>
        <w:rPr>
          <w:rFonts w:hint="eastAsia"/>
          <w:color w:val="auto"/>
          <w:lang w:val="en-US" w:eastAsia="zh-CN"/>
        </w:rPr>
        <w:t>乙方</w:t>
      </w:r>
      <w:r>
        <w:rPr>
          <w:rFonts w:hint="default"/>
          <w:color w:val="auto"/>
          <w:lang w:val="en-US" w:eastAsia="zh-CN"/>
        </w:rPr>
        <w:t>配送的食品已过保质期或保存期，供应假冒伪劣产品情节较为严重的。</w:t>
      </w:r>
    </w:p>
    <w:p w14:paraId="43E50446">
      <w:pPr>
        <w:keepNext w:val="0"/>
        <w:keepLines w:val="0"/>
        <w:pageBreakBefore w:val="0"/>
        <w:widowControl w:val="0"/>
        <w:kinsoku/>
        <w:wordWrap/>
        <w:overflowPunct/>
        <w:topLinePunct w:val="0"/>
        <w:autoSpaceDE/>
        <w:autoSpaceDN/>
        <w:bidi w:val="0"/>
        <w:adjustRightInd w:val="0"/>
        <w:snapToGrid w:val="0"/>
        <w:ind w:firstLine="420" w:firstLineChars="200"/>
        <w:textAlignment w:val="auto"/>
        <w:rPr>
          <w:rFonts w:hint="eastAsia"/>
          <w:color w:val="auto"/>
        </w:rPr>
      </w:pPr>
      <w:r>
        <w:rPr>
          <w:rFonts w:hint="eastAsia" w:ascii="宋体" w:eastAsia="宋体"/>
          <w:color w:val="auto"/>
          <w:lang w:val="en-US" w:eastAsia="zh-CN"/>
        </w:rPr>
        <w:t>（5）</w:t>
      </w:r>
      <w:r>
        <w:rPr>
          <w:rFonts w:hint="eastAsia"/>
          <w:color w:val="auto"/>
          <w:lang w:val="en-US" w:eastAsia="zh-CN"/>
        </w:rPr>
        <w:t>乙方</w:t>
      </w:r>
      <w:r>
        <w:rPr>
          <w:rFonts w:hint="default"/>
          <w:color w:val="auto"/>
          <w:lang w:val="en-US" w:eastAsia="zh-CN"/>
        </w:rPr>
        <w:t>未按合同条款的质量要求或未按照</w:t>
      </w:r>
      <w:r>
        <w:rPr>
          <w:rFonts w:hint="eastAsia"/>
          <w:color w:val="auto"/>
          <w:lang w:val="en-US" w:eastAsia="zh-CN"/>
        </w:rPr>
        <w:t>甲方</w:t>
      </w:r>
      <w:r>
        <w:rPr>
          <w:rFonts w:hint="default"/>
          <w:color w:val="auto"/>
          <w:lang w:val="en-US" w:eastAsia="zh-CN"/>
        </w:rPr>
        <w:t>下单要求送货，经</w:t>
      </w:r>
      <w:r>
        <w:rPr>
          <w:rFonts w:hint="eastAsia"/>
          <w:color w:val="auto"/>
          <w:lang w:val="en-US" w:eastAsia="zh-CN"/>
        </w:rPr>
        <w:t>甲方</w:t>
      </w:r>
      <w:r>
        <w:rPr>
          <w:rFonts w:hint="default"/>
          <w:color w:val="auto"/>
          <w:lang w:val="en-US" w:eastAsia="zh-CN"/>
        </w:rPr>
        <w:t>提出书面整改仍不改进，达三次以上的。</w:t>
      </w:r>
    </w:p>
    <w:p w14:paraId="7A00EC70">
      <w:pPr>
        <w:rPr>
          <w:rFonts w:hint="default"/>
          <w:color w:val="auto"/>
          <w:lang w:val="en-US" w:eastAsia="zh-CN"/>
        </w:rPr>
      </w:pPr>
    </w:p>
    <w:sectPr>
      <w:headerReference r:id="rId5" w:type="default"/>
      <w:footerReference r:id="rId6" w:type="default"/>
      <w:pgSz w:w="11906" w:h="16838"/>
      <w:pgMar w:top="1440" w:right="1080" w:bottom="1440" w:left="1080" w:header="851" w:footer="992" w:gutter="0"/>
      <w:pgBorders>
        <w:top w:val="none" w:sz="0" w:space="0"/>
        <w:left w:val="none" w:sz="0" w:space="0"/>
        <w:bottom w:val="none" w:sz="0" w:space="0"/>
        <w:right w:val="none" w:sz="0" w:space="0"/>
      </w:pgBorders>
      <w:pgNumType w:start="2"/>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8DAB5">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D39C99">
                          <w:pPr>
                            <w:pStyle w:val="9"/>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8bSus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IoSxy0O/PLzx+XXn8vv72SZ&#10;5ekD1Jh1HzAvDe/8gEsz+wGdmfWgos1f5EMwjuKer+LKIRGRH61X63WFIYGx+YL47OF5iJDeS29J&#10;NhoacXpFVH76CGlMnVNyNefvtDFlgsb940DM7GG597HHbKVhP0yE9r49I58eB99Qh3tOifngUNe8&#10;I7MRZ2M/G8cQ9aErS5TrQbg9Jmyi9JYrjLBTYZxYYTdtV16Jx/eS9fBHbf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fG0rrIAQAAmQMAAA4AAAAAAAAAAQAgAAAAHgEAAGRycy9lMm9Eb2Mu&#10;eG1sUEsFBgAAAAAGAAYAWQEAAFgFAAAAAA==&#10;">
              <v:fill on="f" focussize="0,0"/>
              <v:stroke on="f"/>
              <v:imagedata o:title=""/>
              <o:lock v:ext="edit" aspectratio="f"/>
              <v:textbox inset="0mm,0mm,0mm,0mm" style="mso-fit-shape-to-text:t;">
                <w:txbxContent>
                  <w:p w14:paraId="19D39C99">
                    <w:pPr>
                      <w:pStyle w:val="9"/>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39</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D6B6E">
    <w:pPr>
      <w:tabs>
        <w:tab w:val="center" w:pos="4153"/>
        <w:tab w:val="right" w:pos="8306"/>
      </w:tabs>
      <w:spacing w:line="240" w:lineRule="auto"/>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wMzJmOTk5MDg1Y2MxNjFmYzhmMzRkODE3ODE2Y2EifQ=="/>
  </w:docVars>
  <w:rsids>
    <w:rsidRoot w:val="00172A27"/>
    <w:rsid w:val="000210F1"/>
    <w:rsid w:val="000A3846"/>
    <w:rsid w:val="000F0D67"/>
    <w:rsid w:val="00125A0E"/>
    <w:rsid w:val="0013397E"/>
    <w:rsid w:val="00134FB2"/>
    <w:rsid w:val="00136F18"/>
    <w:rsid w:val="00152CE8"/>
    <w:rsid w:val="00166704"/>
    <w:rsid w:val="00195EB8"/>
    <w:rsid w:val="001C78B1"/>
    <w:rsid w:val="001F2A91"/>
    <w:rsid w:val="00214860"/>
    <w:rsid w:val="002266E2"/>
    <w:rsid w:val="00243502"/>
    <w:rsid w:val="00251D3A"/>
    <w:rsid w:val="00272205"/>
    <w:rsid w:val="00294C01"/>
    <w:rsid w:val="002A1C0B"/>
    <w:rsid w:val="002D3F59"/>
    <w:rsid w:val="002F223D"/>
    <w:rsid w:val="00300623"/>
    <w:rsid w:val="00302AD0"/>
    <w:rsid w:val="00346FCF"/>
    <w:rsid w:val="0035117B"/>
    <w:rsid w:val="00383CF2"/>
    <w:rsid w:val="00385863"/>
    <w:rsid w:val="003F1928"/>
    <w:rsid w:val="00420D22"/>
    <w:rsid w:val="00431978"/>
    <w:rsid w:val="0043421B"/>
    <w:rsid w:val="004461B7"/>
    <w:rsid w:val="004A7F00"/>
    <w:rsid w:val="004C494E"/>
    <w:rsid w:val="004D0FCC"/>
    <w:rsid w:val="004F35B4"/>
    <w:rsid w:val="00536274"/>
    <w:rsid w:val="00544AA5"/>
    <w:rsid w:val="00587A91"/>
    <w:rsid w:val="005955A3"/>
    <w:rsid w:val="005A5095"/>
    <w:rsid w:val="005C63DB"/>
    <w:rsid w:val="005C75A2"/>
    <w:rsid w:val="006047E5"/>
    <w:rsid w:val="00604988"/>
    <w:rsid w:val="00611D90"/>
    <w:rsid w:val="00615F85"/>
    <w:rsid w:val="0068574F"/>
    <w:rsid w:val="006A1B4C"/>
    <w:rsid w:val="006E62D7"/>
    <w:rsid w:val="007924E9"/>
    <w:rsid w:val="00794218"/>
    <w:rsid w:val="007D1411"/>
    <w:rsid w:val="0080019C"/>
    <w:rsid w:val="00802E78"/>
    <w:rsid w:val="008172B5"/>
    <w:rsid w:val="00823400"/>
    <w:rsid w:val="0084270D"/>
    <w:rsid w:val="00873930"/>
    <w:rsid w:val="00881DBC"/>
    <w:rsid w:val="00896B37"/>
    <w:rsid w:val="008A6A10"/>
    <w:rsid w:val="008C5108"/>
    <w:rsid w:val="008E54B7"/>
    <w:rsid w:val="008F1F0C"/>
    <w:rsid w:val="009078CB"/>
    <w:rsid w:val="00916410"/>
    <w:rsid w:val="0093086D"/>
    <w:rsid w:val="009D6909"/>
    <w:rsid w:val="00A00BF6"/>
    <w:rsid w:val="00A15FC3"/>
    <w:rsid w:val="00A30BB0"/>
    <w:rsid w:val="00A423CB"/>
    <w:rsid w:val="00A97F02"/>
    <w:rsid w:val="00AA1064"/>
    <w:rsid w:val="00AB33D0"/>
    <w:rsid w:val="00AC59FB"/>
    <w:rsid w:val="00AE1455"/>
    <w:rsid w:val="00AF60A5"/>
    <w:rsid w:val="00B93603"/>
    <w:rsid w:val="00BB40CE"/>
    <w:rsid w:val="00C41E85"/>
    <w:rsid w:val="00C558DC"/>
    <w:rsid w:val="00C60063"/>
    <w:rsid w:val="00CA1038"/>
    <w:rsid w:val="00CE5B61"/>
    <w:rsid w:val="00D17193"/>
    <w:rsid w:val="00D23242"/>
    <w:rsid w:val="00D33453"/>
    <w:rsid w:val="00D4290A"/>
    <w:rsid w:val="00D46FD1"/>
    <w:rsid w:val="00D57AEB"/>
    <w:rsid w:val="00D666A1"/>
    <w:rsid w:val="00D82421"/>
    <w:rsid w:val="00D91349"/>
    <w:rsid w:val="00DD5AFC"/>
    <w:rsid w:val="00E85990"/>
    <w:rsid w:val="00E87E2A"/>
    <w:rsid w:val="00EB2ADA"/>
    <w:rsid w:val="00F3566B"/>
    <w:rsid w:val="00F35F92"/>
    <w:rsid w:val="00F4596A"/>
    <w:rsid w:val="00F46D15"/>
    <w:rsid w:val="00F83845"/>
    <w:rsid w:val="00F907CF"/>
    <w:rsid w:val="010606EA"/>
    <w:rsid w:val="01060DB9"/>
    <w:rsid w:val="012D3F9C"/>
    <w:rsid w:val="012F51B5"/>
    <w:rsid w:val="01764EEA"/>
    <w:rsid w:val="018F36D4"/>
    <w:rsid w:val="01931961"/>
    <w:rsid w:val="019D289E"/>
    <w:rsid w:val="0204742C"/>
    <w:rsid w:val="027C2B0A"/>
    <w:rsid w:val="02866093"/>
    <w:rsid w:val="02E13417"/>
    <w:rsid w:val="02E27D9A"/>
    <w:rsid w:val="03125B78"/>
    <w:rsid w:val="036672B8"/>
    <w:rsid w:val="037D69F7"/>
    <w:rsid w:val="038852BB"/>
    <w:rsid w:val="03A77A3D"/>
    <w:rsid w:val="03AD54D6"/>
    <w:rsid w:val="03B31AE4"/>
    <w:rsid w:val="03BE6F57"/>
    <w:rsid w:val="03BF10D8"/>
    <w:rsid w:val="03DA48E8"/>
    <w:rsid w:val="03F67248"/>
    <w:rsid w:val="04277401"/>
    <w:rsid w:val="042C2C6A"/>
    <w:rsid w:val="04441D61"/>
    <w:rsid w:val="04445744"/>
    <w:rsid w:val="04600BC7"/>
    <w:rsid w:val="049B245F"/>
    <w:rsid w:val="04A40F68"/>
    <w:rsid w:val="04DB3B14"/>
    <w:rsid w:val="04EB042F"/>
    <w:rsid w:val="05261E57"/>
    <w:rsid w:val="05417669"/>
    <w:rsid w:val="056558D4"/>
    <w:rsid w:val="058A40EC"/>
    <w:rsid w:val="05C707C8"/>
    <w:rsid w:val="05F84B39"/>
    <w:rsid w:val="0633699F"/>
    <w:rsid w:val="064173C1"/>
    <w:rsid w:val="06473D8B"/>
    <w:rsid w:val="06475B39"/>
    <w:rsid w:val="06543ADB"/>
    <w:rsid w:val="06636536"/>
    <w:rsid w:val="066E53E7"/>
    <w:rsid w:val="06930A8A"/>
    <w:rsid w:val="06A73114"/>
    <w:rsid w:val="06CA67F7"/>
    <w:rsid w:val="06CB49BC"/>
    <w:rsid w:val="073D0CEA"/>
    <w:rsid w:val="073F4A62"/>
    <w:rsid w:val="074700C9"/>
    <w:rsid w:val="074934F9"/>
    <w:rsid w:val="076334B9"/>
    <w:rsid w:val="07AE0C6A"/>
    <w:rsid w:val="07CA3665"/>
    <w:rsid w:val="07D9239E"/>
    <w:rsid w:val="07E51AAD"/>
    <w:rsid w:val="07FC13A2"/>
    <w:rsid w:val="080B73C4"/>
    <w:rsid w:val="08116471"/>
    <w:rsid w:val="08241A24"/>
    <w:rsid w:val="087729B6"/>
    <w:rsid w:val="08896AEB"/>
    <w:rsid w:val="093A28DC"/>
    <w:rsid w:val="094451A8"/>
    <w:rsid w:val="09572F96"/>
    <w:rsid w:val="098B6878"/>
    <w:rsid w:val="09A60F0A"/>
    <w:rsid w:val="09BE7AC3"/>
    <w:rsid w:val="09C536D3"/>
    <w:rsid w:val="09C851E3"/>
    <w:rsid w:val="0A50061D"/>
    <w:rsid w:val="0A50407B"/>
    <w:rsid w:val="0A943317"/>
    <w:rsid w:val="0A9E789A"/>
    <w:rsid w:val="0AB94B2B"/>
    <w:rsid w:val="0ABC4401"/>
    <w:rsid w:val="0AC340F4"/>
    <w:rsid w:val="0B1656B6"/>
    <w:rsid w:val="0B1A3AAF"/>
    <w:rsid w:val="0B275F39"/>
    <w:rsid w:val="0B2E3468"/>
    <w:rsid w:val="0B364D3B"/>
    <w:rsid w:val="0B453F0A"/>
    <w:rsid w:val="0B561FD4"/>
    <w:rsid w:val="0BA60BCD"/>
    <w:rsid w:val="0BC11840"/>
    <w:rsid w:val="0BC310B4"/>
    <w:rsid w:val="0BC8786C"/>
    <w:rsid w:val="0BCD79C6"/>
    <w:rsid w:val="0BF654CF"/>
    <w:rsid w:val="0C152235"/>
    <w:rsid w:val="0C222388"/>
    <w:rsid w:val="0C452B1A"/>
    <w:rsid w:val="0C542D5E"/>
    <w:rsid w:val="0C8765F1"/>
    <w:rsid w:val="0C9172A0"/>
    <w:rsid w:val="0CD71526"/>
    <w:rsid w:val="0CF63E15"/>
    <w:rsid w:val="0D002790"/>
    <w:rsid w:val="0D0B5B12"/>
    <w:rsid w:val="0D30095F"/>
    <w:rsid w:val="0D3D1A44"/>
    <w:rsid w:val="0D9D54BB"/>
    <w:rsid w:val="0DA453D8"/>
    <w:rsid w:val="0DB71FA6"/>
    <w:rsid w:val="0DEA6DC0"/>
    <w:rsid w:val="0E1217CA"/>
    <w:rsid w:val="0E18181C"/>
    <w:rsid w:val="0E5E7306"/>
    <w:rsid w:val="0E6E3509"/>
    <w:rsid w:val="0E704357"/>
    <w:rsid w:val="0E8013E6"/>
    <w:rsid w:val="0E917F18"/>
    <w:rsid w:val="0E946E1A"/>
    <w:rsid w:val="0EAD49A7"/>
    <w:rsid w:val="0F3C64C1"/>
    <w:rsid w:val="0F405A07"/>
    <w:rsid w:val="0F4325BA"/>
    <w:rsid w:val="0F5D5E33"/>
    <w:rsid w:val="0FD80FB3"/>
    <w:rsid w:val="0FDC05ED"/>
    <w:rsid w:val="0FE7597E"/>
    <w:rsid w:val="0FFE32C5"/>
    <w:rsid w:val="100723F1"/>
    <w:rsid w:val="100F5FE6"/>
    <w:rsid w:val="10144BA2"/>
    <w:rsid w:val="10D64E44"/>
    <w:rsid w:val="11265900"/>
    <w:rsid w:val="113B5FE2"/>
    <w:rsid w:val="114B525F"/>
    <w:rsid w:val="11553984"/>
    <w:rsid w:val="11790D5B"/>
    <w:rsid w:val="11A65E63"/>
    <w:rsid w:val="11A87972"/>
    <w:rsid w:val="11AB1765"/>
    <w:rsid w:val="11C83C71"/>
    <w:rsid w:val="11D267A0"/>
    <w:rsid w:val="11E43521"/>
    <w:rsid w:val="11FC011F"/>
    <w:rsid w:val="1237584A"/>
    <w:rsid w:val="125B6D01"/>
    <w:rsid w:val="12967BEE"/>
    <w:rsid w:val="12F76E36"/>
    <w:rsid w:val="131B713B"/>
    <w:rsid w:val="13287168"/>
    <w:rsid w:val="132B3D68"/>
    <w:rsid w:val="132C25FE"/>
    <w:rsid w:val="133403E5"/>
    <w:rsid w:val="135B3FEF"/>
    <w:rsid w:val="13620456"/>
    <w:rsid w:val="138C72F5"/>
    <w:rsid w:val="13B641C8"/>
    <w:rsid w:val="13EE3149"/>
    <w:rsid w:val="13EF4D3D"/>
    <w:rsid w:val="13F417BE"/>
    <w:rsid w:val="13F90152"/>
    <w:rsid w:val="14176129"/>
    <w:rsid w:val="144D0FF1"/>
    <w:rsid w:val="147866A7"/>
    <w:rsid w:val="14926B19"/>
    <w:rsid w:val="149A59CD"/>
    <w:rsid w:val="14B767E3"/>
    <w:rsid w:val="14B92252"/>
    <w:rsid w:val="14FB7A24"/>
    <w:rsid w:val="152D6842"/>
    <w:rsid w:val="153D3B96"/>
    <w:rsid w:val="1541637B"/>
    <w:rsid w:val="1555552C"/>
    <w:rsid w:val="15652708"/>
    <w:rsid w:val="15794DFB"/>
    <w:rsid w:val="1581076B"/>
    <w:rsid w:val="15AE23EB"/>
    <w:rsid w:val="15DC3D6E"/>
    <w:rsid w:val="160D2D1A"/>
    <w:rsid w:val="160D338D"/>
    <w:rsid w:val="16322361"/>
    <w:rsid w:val="16475CE3"/>
    <w:rsid w:val="16A30346"/>
    <w:rsid w:val="16B44444"/>
    <w:rsid w:val="16C02B9F"/>
    <w:rsid w:val="16C94348"/>
    <w:rsid w:val="16E366E4"/>
    <w:rsid w:val="16F56E22"/>
    <w:rsid w:val="171B1048"/>
    <w:rsid w:val="17215F32"/>
    <w:rsid w:val="173B6FF4"/>
    <w:rsid w:val="173C342A"/>
    <w:rsid w:val="17665ED6"/>
    <w:rsid w:val="1768141B"/>
    <w:rsid w:val="178F280A"/>
    <w:rsid w:val="17933130"/>
    <w:rsid w:val="17BE42F4"/>
    <w:rsid w:val="1821717A"/>
    <w:rsid w:val="186D4E17"/>
    <w:rsid w:val="18F356AC"/>
    <w:rsid w:val="19353062"/>
    <w:rsid w:val="193808A0"/>
    <w:rsid w:val="198253AE"/>
    <w:rsid w:val="198A7723"/>
    <w:rsid w:val="19946E8F"/>
    <w:rsid w:val="19B660ED"/>
    <w:rsid w:val="19B91C38"/>
    <w:rsid w:val="19C85FAF"/>
    <w:rsid w:val="19CF0B92"/>
    <w:rsid w:val="19E35721"/>
    <w:rsid w:val="1A0529B5"/>
    <w:rsid w:val="1A087027"/>
    <w:rsid w:val="1A13233A"/>
    <w:rsid w:val="1A2D19AA"/>
    <w:rsid w:val="1A7644BD"/>
    <w:rsid w:val="1AB31597"/>
    <w:rsid w:val="1AB8639A"/>
    <w:rsid w:val="1AF47AA0"/>
    <w:rsid w:val="1B013AF9"/>
    <w:rsid w:val="1B1F7CAA"/>
    <w:rsid w:val="1B410951"/>
    <w:rsid w:val="1B45734F"/>
    <w:rsid w:val="1BA11A1D"/>
    <w:rsid w:val="1BCB3B2C"/>
    <w:rsid w:val="1BCD1983"/>
    <w:rsid w:val="1BE37C5A"/>
    <w:rsid w:val="1C12289A"/>
    <w:rsid w:val="1C44694B"/>
    <w:rsid w:val="1C6E4F49"/>
    <w:rsid w:val="1C9378D2"/>
    <w:rsid w:val="1CB63DAA"/>
    <w:rsid w:val="1CC47585"/>
    <w:rsid w:val="1CC55B3B"/>
    <w:rsid w:val="1CDA32BD"/>
    <w:rsid w:val="1CF12410"/>
    <w:rsid w:val="1CF22D64"/>
    <w:rsid w:val="1CFB5A67"/>
    <w:rsid w:val="1D1011FD"/>
    <w:rsid w:val="1D622D38"/>
    <w:rsid w:val="1D6644EF"/>
    <w:rsid w:val="1D6F2734"/>
    <w:rsid w:val="1D77203E"/>
    <w:rsid w:val="1DA20EFF"/>
    <w:rsid w:val="1DC6292F"/>
    <w:rsid w:val="1E0267FF"/>
    <w:rsid w:val="1E10503B"/>
    <w:rsid w:val="1E2E6450"/>
    <w:rsid w:val="1E4403FD"/>
    <w:rsid w:val="1E4A351C"/>
    <w:rsid w:val="1E882DF6"/>
    <w:rsid w:val="1E8A6AB3"/>
    <w:rsid w:val="1E952D02"/>
    <w:rsid w:val="1E993E42"/>
    <w:rsid w:val="1E9F62E9"/>
    <w:rsid w:val="1EB22B4B"/>
    <w:rsid w:val="1EBA15A7"/>
    <w:rsid w:val="1EC67048"/>
    <w:rsid w:val="1ED12CDA"/>
    <w:rsid w:val="1ED85A70"/>
    <w:rsid w:val="1EF96CD6"/>
    <w:rsid w:val="1F223D2D"/>
    <w:rsid w:val="1F285FB8"/>
    <w:rsid w:val="1F5A411E"/>
    <w:rsid w:val="1F751511"/>
    <w:rsid w:val="1F884838"/>
    <w:rsid w:val="1F9E4678"/>
    <w:rsid w:val="1FA12306"/>
    <w:rsid w:val="1FF674FE"/>
    <w:rsid w:val="202F3921"/>
    <w:rsid w:val="20477DDC"/>
    <w:rsid w:val="20502BB0"/>
    <w:rsid w:val="20790B8D"/>
    <w:rsid w:val="20A50519"/>
    <w:rsid w:val="20AE24BD"/>
    <w:rsid w:val="20B46110"/>
    <w:rsid w:val="20E24A8A"/>
    <w:rsid w:val="20F25598"/>
    <w:rsid w:val="2101698A"/>
    <w:rsid w:val="211B68D5"/>
    <w:rsid w:val="217366E0"/>
    <w:rsid w:val="21757BC9"/>
    <w:rsid w:val="217F73CB"/>
    <w:rsid w:val="21DC18CD"/>
    <w:rsid w:val="21E70925"/>
    <w:rsid w:val="21F64FB0"/>
    <w:rsid w:val="223A64D6"/>
    <w:rsid w:val="223E5CB3"/>
    <w:rsid w:val="22470958"/>
    <w:rsid w:val="226E30B9"/>
    <w:rsid w:val="228A7B70"/>
    <w:rsid w:val="22965A26"/>
    <w:rsid w:val="22A34361"/>
    <w:rsid w:val="22B51099"/>
    <w:rsid w:val="22C02AA3"/>
    <w:rsid w:val="231352C9"/>
    <w:rsid w:val="23152DEF"/>
    <w:rsid w:val="231B18B0"/>
    <w:rsid w:val="231F60DA"/>
    <w:rsid w:val="23291B18"/>
    <w:rsid w:val="236971AB"/>
    <w:rsid w:val="236A11B0"/>
    <w:rsid w:val="23AB3753"/>
    <w:rsid w:val="23B77EC6"/>
    <w:rsid w:val="23C654EF"/>
    <w:rsid w:val="23C914F4"/>
    <w:rsid w:val="23D4417B"/>
    <w:rsid w:val="23E81419"/>
    <w:rsid w:val="23FF66A1"/>
    <w:rsid w:val="24353062"/>
    <w:rsid w:val="246406A1"/>
    <w:rsid w:val="24792FFE"/>
    <w:rsid w:val="24B109E8"/>
    <w:rsid w:val="24B253EB"/>
    <w:rsid w:val="250852A4"/>
    <w:rsid w:val="25137F0C"/>
    <w:rsid w:val="25140066"/>
    <w:rsid w:val="25276E09"/>
    <w:rsid w:val="25712ACB"/>
    <w:rsid w:val="25A536A3"/>
    <w:rsid w:val="25BD5D03"/>
    <w:rsid w:val="25CD17C7"/>
    <w:rsid w:val="25E06DEE"/>
    <w:rsid w:val="25E3646D"/>
    <w:rsid w:val="26377ABD"/>
    <w:rsid w:val="264163C6"/>
    <w:rsid w:val="264E03C6"/>
    <w:rsid w:val="26563D75"/>
    <w:rsid w:val="267C3D49"/>
    <w:rsid w:val="26901944"/>
    <w:rsid w:val="26945A16"/>
    <w:rsid w:val="26AC2D80"/>
    <w:rsid w:val="26BC5020"/>
    <w:rsid w:val="26C41E7D"/>
    <w:rsid w:val="26C607D3"/>
    <w:rsid w:val="27054B5F"/>
    <w:rsid w:val="276670F2"/>
    <w:rsid w:val="276E354F"/>
    <w:rsid w:val="2780078F"/>
    <w:rsid w:val="279614C2"/>
    <w:rsid w:val="27CF4657"/>
    <w:rsid w:val="27D118E0"/>
    <w:rsid w:val="28015325"/>
    <w:rsid w:val="2811460D"/>
    <w:rsid w:val="282407DA"/>
    <w:rsid w:val="284424D3"/>
    <w:rsid w:val="287D035A"/>
    <w:rsid w:val="288D0C37"/>
    <w:rsid w:val="28AF048F"/>
    <w:rsid w:val="28B5206F"/>
    <w:rsid w:val="28C20A3D"/>
    <w:rsid w:val="28E466A7"/>
    <w:rsid w:val="290851A4"/>
    <w:rsid w:val="29266F82"/>
    <w:rsid w:val="293566C5"/>
    <w:rsid w:val="295B53C3"/>
    <w:rsid w:val="299A644C"/>
    <w:rsid w:val="29AB5C6C"/>
    <w:rsid w:val="29B44236"/>
    <w:rsid w:val="29B71974"/>
    <w:rsid w:val="29FB1089"/>
    <w:rsid w:val="2A0F5BC1"/>
    <w:rsid w:val="2A243E4E"/>
    <w:rsid w:val="2A5A37DD"/>
    <w:rsid w:val="2A6C1FB7"/>
    <w:rsid w:val="2A7228D5"/>
    <w:rsid w:val="2ABB03CE"/>
    <w:rsid w:val="2AC70CAE"/>
    <w:rsid w:val="2AEA2DB3"/>
    <w:rsid w:val="2AF53646"/>
    <w:rsid w:val="2AF733B6"/>
    <w:rsid w:val="2B882166"/>
    <w:rsid w:val="2BAA6540"/>
    <w:rsid w:val="2BB6102A"/>
    <w:rsid w:val="2BCA3D6B"/>
    <w:rsid w:val="2BD20941"/>
    <w:rsid w:val="2BFF2A1E"/>
    <w:rsid w:val="2C00195C"/>
    <w:rsid w:val="2C316DB2"/>
    <w:rsid w:val="2C370A57"/>
    <w:rsid w:val="2C3C48ED"/>
    <w:rsid w:val="2C535709"/>
    <w:rsid w:val="2C804C32"/>
    <w:rsid w:val="2C99557F"/>
    <w:rsid w:val="2CBC4AF8"/>
    <w:rsid w:val="2CE617D0"/>
    <w:rsid w:val="2CF15C51"/>
    <w:rsid w:val="2CF47E88"/>
    <w:rsid w:val="2CFF1BE6"/>
    <w:rsid w:val="2D140A08"/>
    <w:rsid w:val="2D4C07FC"/>
    <w:rsid w:val="2D6D7CCB"/>
    <w:rsid w:val="2D705EE8"/>
    <w:rsid w:val="2DCA0306"/>
    <w:rsid w:val="2DE4439D"/>
    <w:rsid w:val="2DF60E8D"/>
    <w:rsid w:val="2E054770"/>
    <w:rsid w:val="2E552C39"/>
    <w:rsid w:val="2E731311"/>
    <w:rsid w:val="2E7C3165"/>
    <w:rsid w:val="2E911516"/>
    <w:rsid w:val="2E9703AA"/>
    <w:rsid w:val="2EB060C2"/>
    <w:rsid w:val="2EE07E41"/>
    <w:rsid w:val="2EF40078"/>
    <w:rsid w:val="2F0A7F03"/>
    <w:rsid w:val="2F5B16A2"/>
    <w:rsid w:val="2F6037F9"/>
    <w:rsid w:val="2F9037FD"/>
    <w:rsid w:val="2FAF6379"/>
    <w:rsid w:val="2FD43439"/>
    <w:rsid w:val="300B5386"/>
    <w:rsid w:val="30234671"/>
    <w:rsid w:val="30246505"/>
    <w:rsid w:val="306929CC"/>
    <w:rsid w:val="30702C38"/>
    <w:rsid w:val="30CC2DB9"/>
    <w:rsid w:val="30F4152D"/>
    <w:rsid w:val="312A4098"/>
    <w:rsid w:val="312C4A5C"/>
    <w:rsid w:val="3136601F"/>
    <w:rsid w:val="31463C9E"/>
    <w:rsid w:val="3175070C"/>
    <w:rsid w:val="317E71FC"/>
    <w:rsid w:val="31D86649"/>
    <w:rsid w:val="31EB34E9"/>
    <w:rsid w:val="32085BB4"/>
    <w:rsid w:val="320A6CCA"/>
    <w:rsid w:val="321D4218"/>
    <w:rsid w:val="322975E7"/>
    <w:rsid w:val="324D2ADD"/>
    <w:rsid w:val="325C737E"/>
    <w:rsid w:val="32865FCB"/>
    <w:rsid w:val="32BC5CAA"/>
    <w:rsid w:val="32CB09A1"/>
    <w:rsid w:val="32FF4F9B"/>
    <w:rsid w:val="330632DC"/>
    <w:rsid w:val="33213945"/>
    <w:rsid w:val="333D3FFE"/>
    <w:rsid w:val="333F401A"/>
    <w:rsid w:val="33471370"/>
    <w:rsid w:val="33591540"/>
    <w:rsid w:val="33707BCD"/>
    <w:rsid w:val="337C61FE"/>
    <w:rsid w:val="33873754"/>
    <w:rsid w:val="33881DE3"/>
    <w:rsid w:val="33CD44B9"/>
    <w:rsid w:val="341A208D"/>
    <w:rsid w:val="341B3117"/>
    <w:rsid w:val="341F5C34"/>
    <w:rsid w:val="343B6673"/>
    <w:rsid w:val="346234B0"/>
    <w:rsid w:val="34767FE4"/>
    <w:rsid w:val="348E47AF"/>
    <w:rsid w:val="34920898"/>
    <w:rsid w:val="34E50CCC"/>
    <w:rsid w:val="35146E70"/>
    <w:rsid w:val="35352A3F"/>
    <w:rsid w:val="35365382"/>
    <w:rsid w:val="355752F1"/>
    <w:rsid w:val="355A247B"/>
    <w:rsid w:val="3579545F"/>
    <w:rsid w:val="35A149B6"/>
    <w:rsid w:val="35D07049"/>
    <w:rsid w:val="35DC5344"/>
    <w:rsid w:val="36070CBD"/>
    <w:rsid w:val="36311C98"/>
    <w:rsid w:val="36370AC5"/>
    <w:rsid w:val="36483F2D"/>
    <w:rsid w:val="36590DED"/>
    <w:rsid w:val="365A281B"/>
    <w:rsid w:val="36C42B50"/>
    <w:rsid w:val="374D4FC2"/>
    <w:rsid w:val="374F29AB"/>
    <w:rsid w:val="37517257"/>
    <w:rsid w:val="37A679E8"/>
    <w:rsid w:val="37F91E95"/>
    <w:rsid w:val="380B4369"/>
    <w:rsid w:val="38342AA8"/>
    <w:rsid w:val="383C781E"/>
    <w:rsid w:val="38677671"/>
    <w:rsid w:val="38E40CD2"/>
    <w:rsid w:val="38F372D7"/>
    <w:rsid w:val="38FE5355"/>
    <w:rsid w:val="3929719C"/>
    <w:rsid w:val="3938734E"/>
    <w:rsid w:val="393925C6"/>
    <w:rsid w:val="396471C4"/>
    <w:rsid w:val="396F63A0"/>
    <w:rsid w:val="39870CB1"/>
    <w:rsid w:val="39981767"/>
    <w:rsid w:val="3A2B484E"/>
    <w:rsid w:val="3AA42243"/>
    <w:rsid w:val="3ACF167E"/>
    <w:rsid w:val="3ADF341B"/>
    <w:rsid w:val="3AE9772F"/>
    <w:rsid w:val="3B0168CD"/>
    <w:rsid w:val="3B0F7E67"/>
    <w:rsid w:val="3B1A14BB"/>
    <w:rsid w:val="3B510B5D"/>
    <w:rsid w:val="3B832DBC"/>
    <w:rsid w:val="3BAD6961"/>
    <w:rsid w:val="3BBF4813"/>
    <w:rsid w:val="3BC37D31"/>
    <w:rsid w:val="3BD520DF"/>
    <w:rsid w:val="3BE22603"/>
    <w:rsid w:val="3BFD6C8C"/>
    <w:rsid w:val="3C16048C"/>
    <w:rsid w:val="3C3100B9"/>
    <w:rsid w:val="3C4A02AE"/>
    <w:rsid w:val="3C6978B0"/>
    <w:rsid w:val="3CC72F54"/>
    <w:rsid w:val="3CD272DE"/>
    <w:rsid w:val="3D15464C"/>
    <w:rsid w:val="3D197489"/>
    <w:rsid w:val="3D377484"/>
    <w:rsid w:val="3D556267"/>
    <w:rsid w:val="3D567CBE"/>
    <w:rsid w:val="3D700DED"/>
    <w:rsid w:val="3D8C262B"/>
    <w:rsid w:val="3D9E1924"/>
    <w:rsid w:val="3DBB6F54"/>
    <w:rsid w:val="3DE73171"/>
    <w:rsid w:val="3E0728CE"/>
    <w:rsid w:val="3E2D30F7"/>
    <w:rsid w:val="3E7B3519"/>
    <w:rsid w:val="3E847404"/>
    <w:rsid w:val="3E9079E7"/>
    <w:rsid w:val="3EAD617A"/>
    <w:rsid w:val="3ECD0B8E"/>
    <w:rsid w:val="3F276C99"/>
    <w:rsid w:val="3F540B6A"/>
    <w:rsid w:val="3F6C09AC"/>
    <w:rsid w:val="3F6C6042"/>
    <w:rsid w:val="3F781F89"/>
    <w:rsid w:val="3F8470B4"/>
    <w:rsid w:val="3F97670A"/>
    <w:rsid w:val="3F9F5E7E"/>
    <w:rsid w:val="3FBC77E9"/>
    <w:rsid w:val="3FD25DB8"/>
    <w:rsid w:val="3FED50FF"/>
    <w:rsid w:val="402B5B3C"/>
    <w:rsid w:val="40554561"/>
    <w:rsid w:val="410248D4"/>
    <w:rsid w:val="410C362B"/>
    <w:rsid w:val="411E164E"/>
    <w:rsid w:val="412A7FEC"/>
    <w:rsid w:val="41403F26"/>
    <w:rsid w:val="41754581"/>
    <w:rsid w:val="417D62D7"/>
    <w:rsid w:val="418838BA"/>
    <w:rsid w:val="419807D0"/>
    <w:rsid w:val="41A311B2"/>
    <w:rsid w:val="41B06B1E"/>
    <w:rsid w:val="41BF10CC"/>
    <w:rsid w:val="41CA25F2"/>
    <w:rsid w:val="41FD0500"/>
    <w:rsid w:val="423170C2"/>
    <w:rsid w:val="42361628"/>
    <w:rsid w:val="42446DF5"/>
    <w:rsid w:val="4245327A"/>
    <w:rsid w:val="424D0126"/>
    <w:rsid w:val="425132C0"/>
    <w:rsid w:val="4273222C"/>
    <w:rsid w:val="42775814"/>
    <w:rsid w:val="42B76788"/>
    <w:rsid w:val="42B775C7"/>
    <w:rsid w:val="42DD7BFD"/>
    <w:rsid w:val="42EA6AAA"/>
    <w:rsid w:val="43063DC5"/>
    <w:rsid w:val="43541A8D"/>
    <w:rsid w:val="437B6846"/>
    <w:rsid w:val="43D540A4"/>
    <w:rsid w:val="43D85FFA"/>
    <w:rsid w:val="43EB1F19"/>
    <w:rsid w:val="43EF6F2A"/>
    <w:rsid w:val="44231A81"/>
    <w:rsid w:val="444F00EC"/>
    <w:rsid w:val="44520091"/>
    <w:rsid w:val="446F4DB5"/>
    <w:rsid w:val="44816692"/>
    <w:rsid w:val="44924988"/>
    <w:rsid w:val="44936E88"/>
    <w:rsid w:val="44AE49FA"/>
    <w:rsid w:val="44CE3F11"/>
    <w:rsid w:val="44F371E3"/>
    <w:rsid w:val="452F458B"/>
    <w:rsid w:val="45561319"/>
    <w:rsid w:val="45666887"/>
    <w:rsid w:val="45703A5D"/>
    <w:rsid w:val="45877724"/>
    <w:rsid w:val="45931A90"/>
    <w:rsid w:val="459C4852"/>
    <w:rsid w:val="45C049E4"/>
    <w:rsid w:val="45E10B02"/>
    <w:rsid w:val="463D5AA4"/>
    <w:rsid w:val="4665558C"/>
    <w:rsid w:val="46671D40"/>
    <w:rsid w:val="4667790F"/>
    <w:rsid w:val="468D1FD2"/>
    <w:rsid w:val="46A63E72"/>
    <w:rsid w:val="46CA125F"/>
    <w:rsid w:val="46D333AA"/>
    <w:rsid w:val="46DF0E9A"/>
    <w:rsid w:val="46E85DE9"/>
    <w:rsid w:val="46F22A6D"/>
    <w:rsid w:val="46F30DEA"/>
    <w:rsid w:val="46F45AA6"/>
    <w:rsid w:val="471C3E9C"/>
    <w:rsid w:val="471E2059"/>
    <w:rsid w:val="475813C6"/>
    <w:rsid w:val="47A92D55"/>
    <w:rsid w:val="47C167F2"/>
    <w:rsid w:val="47F40975"/>
    <w:rsid w:val="482F1586"/>
    <w:rsid w:val="48333AA3"/>
    <w:rsid w:val="48961A2D"/>
    <w:rsid w:val="48A7185A"/>
    <w:rsid w:val="48C51D06"/>
    <w:rsid w:val="48E524CB"/>
    <w:rsid w:val="48E96000"/>
    <w:rsid w:val="490E3CB9"/>
    <w:rsid w:val="49272D28"/>
    <w:rsid w:val="49A80F0E"/>
    <w:rsid w:val="49C16F7D"/>
    <w:rsid w:val="49ED1B20"/>
    <w:rsid w:val="49FC2526"/>
    <w:rsid w:val="4A522F68"/>
    <w:rsid w:val="4A7E09CA"/>
    <w:rsid w:val="4AB93065"/>
    <w:rsid w:val="4ACD4802"/>
    <w:rsid w:val="4AD51DEF"/>
    <w:rsid w:val="4AF56000"/>
    <w:rsid w:val="4AF91239"/>
    <w:rsid w:val="4B2D1B4C"/>
    <w:rsid w:val="4B3A0245"/>
    <w:rsid w:val="4B3F30F5"/>
    <w:rsid w:val="4B4C5C8C"/>
    <w:rsid w:val="4B68349E"/>
    <w:rsid w:val="4B7206D4"/>
    <w:rsid w:val="4B863FDA"/>
    <w:rsid w:val="4B95421D"/>
    <w:rsid w:val="4BE87FAF"/>
    <w:rsid w:val="4BEC1912"/>
    <w:rsid w:val="4BFC3052"/>
    <w:rsid w:val="4C2A1B26"/>
    <w:rsid w:val="4C6C76F0"/>
    <w:rsid w:val="4C844877"/>
    <w:rsid w:val="4C876E83"/>
    <w:rsid w:val="4C9726F2"/>
    <w:rsid w:val="4D1E0FF1"/>
    <w:rsid w:val="4D5D1A4E"/>
    <w:rsid w:val="4D5E5AC1"/>
    <w:rsid w:val="4D671BE9"/>
    <w:rsid w:val="4D7B23F0"/>
    <w:rsid w:val="4DA43511"/>
    <w:rsid w:val="4DB01892"/>
    <w:rsid w:val="4DB93017"/>
    <w:rsid w:val="4DD15283"/>
    <w:rsid w:val="4DDA386B"/>
    <w:rsid w:val="4DDF5156"/>
    <w:rsid w:val="4DF552C4"/>
    <w:rsid w:val="4E8A6166"/>
    <w:rsid w:val="4E924CCF"/>
    <w:rsid w:val="4E9815EA"/>
    <w:rsid w:val="4ECA61D7"/>
    <w:rsid w:val="4ECF6037"/>
    <w:rsid w:val="4F4331A3"/>
    <w:rsid w:val="4F7B3896"/>
    <w:rsid w:val="4F7D17BF"/>
    <w:rsid w:val="4FB715EB"/>
    <w:rsid w:val="4FCE6017"/>
    <w:rsid w:val="4FDD5A10"/>
    <w:rsid w:val="4FEC75F8"/>
    <w:rsid w:val="503F1B09"/>
    <w:rsid w:val="5046318E"/>
    <w:rsid w:val="50763288"/>
    <w:rsid w:val="507C3000"/>
    <w:rsid w:val="508E6957"/>
    <w:rsid w:val="508F5FB4"/>
    <w:rsid w:val="50AF32A0"/>
    <w:rsid w:val="50C43D0C"/>
    <w:rsid w:val="50D07776"/>
    <w:rsid w:val="50DC69D6"/>
    <w:rsid w:val="51022355"/>
    <w:rsid w:val="51025EB1"/>
    <w:rsid w:val="511E32A0"/>
    <w:rsid w:val="512D7432"/>
    <w:rsid w:val="51743E97"/>
    <w:rsid w:val="51C5561C"/>
    <w:rsid w:val="51CF6707"/>
    <w:rsid w:val="51DD7940"/>
    <w:rsid w:val="51F95B25"/>
    <w:rsid w:val="52045C59"/>
    <w:rsid w:val="52083A0E"/>
    <w:rsid w:val="521C6567"/>
    <w:rsid w:val="522216DF"/>
    <w:rsid w:val="523B5C4C"/>
    <w:rsid w:val="52582741"/>
    <w:rsid w:val="525939BB"/>
    <w:rsid w:val="525E5EC9"/>
    <w:rsid w:val="527109BF"/>
    <w:rsid w:val="5272452C"/>
    <w:rsid w:val="52741030"/>
    <w:rsid w:val="52742AB2"/>
    <w:rsid w:val="52956CA4"/>
    <w:rsid w:val="52CA20B7"/>
    <w:rsid w:val="52D0151B"/>
    <w:rsid w:val="52F1442F"/>
    <w:rsid w:val="53006D50"/>
    <w:rsid w:val="53177FA8"/>
    <w:rsid w:val="534505B3"/>
    <w:rsid w:val="5351285B"/>
    <w:rsid w:val="537273A3"/>
    <w:rsid w:val="53967CED"/>
    <w:rsid w:val="53A22A62"/>
    <w:rsid w:val="53AA3E63"/>
    <w:rsid w:val="53B67427"/>
    <w:rsid w:val="543C3CD8"/>
    <w:rsid w:val="544B7A39"/>
    <w:rsid w:val="54732A87"/>
    <w:rsid w:val="548A5EB8"/>
    <w:rsid w:val="549E05E7"/>
    <w:rsid w:val="54AC6ACE"/>
    <w:rsid w:val="54B576DE"/>
    <w:rsid w:val="54D144BC"/>
    <w:rsid w:val="54E73984"/>
    <w:rsid w:val="54ED77AC"/>
    <w:rsid w:val="54F42729"/>
    <w:rsid w:val="54F839CA"/>
    <w:rsid w:val="55173EF5"/>
    <w:rsid w:val="552F4951"/>
    <w:rsid w:val="55493DF6"/>
    <w:rsid w:val="55805386"/>
    <w:rsid w:val="55A33870"/>
    <w:rsid w:val="55A362D0"/>
    <w:rsid w:val="55A82D9F"/>
    <w:rsid w:val="55B926B4"/>
    <w:rsid w:val="55BA2125"/>
    <w:rsid w:val="55FD22BB"/>
    <w:rsid w:val="56142334"/>
    <w:rsid w:val="56240F58"/>
    <w:rsid w:val="562C0262"/>
    <w:rsid w:val="56432297"/>
    <w:rsid w:val="56472EC1"/>
    <w:rsid w:val="565019CA"/>
    <w:rsid w:val="569D7C9B"/>
    <w:rsid w:val="56CA3981"/>
    <w:rsid w:val="56E318ED"/>
    <w:rsid w:val="56EF0989"/>
    <w:rsid w:val="56F05B6A"/>
    <w:rsid w:val="57094178"/>
    <w:rsid w:val="57114ABA"/>
    <w:rsid w:val="57157EC1"/>
    <w:rsid w:val="572F6D8B"/>
    <w:rsid w:val="57411B79"/>
    <w:rsid w:val="57540968"/>
    <w:rsid w:val="5761317B"/>
    <w:rsid w:val="57A04382"/>
    <w:rsid w:val="57AA75B5"/>
    <w:rsid w:val="57AE1B0B"/>
    <w:rsid w:val="57B609A9"/>
    <w:rsid w:val="58164373"/>
    <w:rsid w:val="581D5CC6"/>
    <w:rsid w:val="583544A0"/>
    <w:rsid w:val="58611560"/>
    <w:rsid w:val="58AD7EC6"/>
    <w:rsid w:val="58B02A3D"/>
    <w:rsid w:val="58DA020D"/>
    <w:rsid w:val="58F63F20"/>
    <w:rsid w:val="594554D5"/>
    <w:rsid w:val="59560119"/>
    <w:rsid w:val="595F7809"/>
    <w:rsid w:val="597610C2"/>
    <w:rsid w:val="599B387F"/>
    <w:rsid w:val="59CD590B"/>
    <w:rsid w:val="59D92744"/>
    <w:rsid w:val="59FE5684"/>
    <w:rsid w:val="5A0D610C"/>
    <w:rsid w:val="5A0F3DAA"/>
    <w:rsid w:val="5A1F3B68"/>
    <w:rsid w:val="5A443DA9"/>
    <w:rsid w:val="5A4A08C9"/>
    <w:rsid w:val="5A897BB4"/>
    <w:rsid w:val="5A9D2CD9"/>
    <w:rsid w:val="5ADE2223"/>
    <w:rsid w:val="5B140B9B"/>
    <w:rsid w:val="5B441FD5"/>
    <w:rsid w:val="5B7824A9"/>
    <w:rsid w:val="5B81656C"/>
    <w:rsid w:val="5B850796"/>
    <w:rsid w:val="5BB8199B"/>
    <w:rsid w:val="5C26593D"/>
    <w:rsid w:val="5C574B8D"/>
    <w:rsid w:val="5C990E04"/>
    <w:rsid w:val="5CCD5672"/>
    <w:rsid w:val="5CDB3A5A"/>
    <w:rsid w:val="5D0C00B7"/>
    <w:rsid w:val="5D192F00"/>
    <w:rsid w:val="5D3352BD"/>
    <w:rsid w:val="5D46699C"/>
    <w:rsid w:val="5D60172F"/>
    <w:rsid w:val="5D66443E"/>
    <w:rsid w:val="5D8B3394"/>
    <w:rsid w:val="5D8B4844"/>
    <w:rsid w:val="5D8E53BE"/>
    <w:rsid w:val="5DBF01F0"/>
    <w:rsid w:val="5DC05299"/>
    <w:rsid w:val="5DE221E9"/>
    <w:rsid w:val="5E011BB1"/>
    <w:rsid w:val="5E0F5D16"/>
    <w:rsid w:val="5E167D90"/>
    <w:rsid w:val="5E203D91"/>
    <w:rsid w:val="5E33651C"/>
    <w:rsid w:val="5E453881"/>
    <w:rsid w:val="5E570E29"/>
    <w:rsid w:val="5E652175"/>
    <w:rsid w:val="5E7A7942"/>
    <w:rsid w:val="5EA926C0"/>
    <w:rsid w:val="5EB84053"/>
    <w:rsid w:val="5ED54C05"/>
    <w:rsid w:val="5ED80080"/>
    <w:rsid w:val="5EFF7ED4"/>
    <w:rsid w:val="5F0D10DE"/>
    <w:rsid w:val="5F125E59"/>
    <w:rsid w:val="5F2B3555"/>
    <w:rsid w:val="5F3B604C"/>
    <w:rsid w:val="5F791EB9"/>
    <w:rsid w:val="5F795724"/>
    <w:rsid w:val="5F7D06AD"/>
    <w:rsid w:val="5F996021"/>
    <w:rsid w:val="5FCD13BF"/>
    <w:rsid w:val="5FCF78A6"/>
    <w:rsid w:val="5FE4753A"/>
    <w:rsid w:val="5FE93CB3"/>
    <w:rsid w:val="5FED244A"/>
    <w:rsid w:val="5FF2168A"/>
    <w:rsid w:val="5FF85561"/>
    <w:rsid w:val="601D6E08"/>
    <w:rsid w:val="602C2F4B"/>
    <w:rsid w:val="602F31DE"/>
    <w:rsid w:val="60313903"/>
    <w:rsid w:val="60343CD7"/>
    <w:rsid w:val="605B55DE"/>
    <w:rsid w:val="608A0DEA"/>
    <w:rsid w:val="60A1796B"/>
    <w:rsid w:val="60ED54C5"/>
    <w:rsid w:val="61A43DFA"/>
    <w:rsid w:val="61CC12A6"/>
    <w:rsid w:val="61CC4658"/>
    <w:rsid w:val="62163B1A"/>
    <w:rsid w:val="621F2410"/>
    <w:rsid w:val="622639C9"/>
    <w:rsid w:val="627B1C56"/>
    <w:rsid w:val="6280380D"/>
    <w:rsid w:val="62901D42"/>
    <w:rsid w:val="62AB2A1C"/>
    <w:rsid w:val="62B47227"/>
    <w:rsid w:val="62B65985"/>
    <w:rsid w:val="62DD1EBF"/>
    <w:rsid w:val="62FF7C4A"/>
    <w:rsid w:val="630459EA"/>
    <w:rsid w:val="630A1E28"/>
    <w:rsid w:val="63647475"/>
    <w:rsid w:val="636C18B0"/>
    <w:rsid w:val="63955021"/>
    <w:rsid w:val="63984B32"/>
    <w:rsid w:val="63A97DB1"/>
    <w:rsid w:val="640C641A"/>
    <w:rsid w:val="64530915"/>
    <w:rsid w:val="647A1205"/>
    <w:rsid w:val="648B5259"/>
    <w:rsid w:val="64AB0B47"/>
    <w:rsid w:val="64B05BFC"/>
    <w:rsid w:val="64EE79D9"/>
    <w:rsid w:val="64F05BA8"/>
    <w:rsid w:val="64F8164D"/>
    <w:rsid w:val="65056FC8"/>
    <w:rsid w:val="65086C70"/>
    <w:rsid w:val="65332685"/>
    <w:rsid w:val="65426CE3"/>
    <w:rsid w:val="655B6C54"/>
    <w:rsid w:val="65AE7F5E"/>
    <w:rsid w:val="65B5753E"/>
    <w:rsid w:val="65BA0FDD"/>
    <w:rsid w:val="65C27375"/>
    <w:rsid w:val="661311B8"/>
    <w:rsid w:val="66156570"/>
    <w:rsid w:val="66846F11"/>
    <w:rsid w:val="6696492E"/>
    <w:rsid w:val="66C77E96"/>
    <w:rsid w:val="66CB5C69"/>
    <w:rsid w:val="66D16A8A"/>
    <w:rsid w:val="67136B65"/>
    <w:rsid w:val="6720014B"/>
    <w:rsid w:val="67230C8D"/>
    <w:rsid w:val="67304C33"/>
    <w:rsid w:val="674C265E"/>
    <w:rsid w:val="67537C7E"/>
    <w:rsid w:val="6760797E"/>
    <w:rsid w:val="676A2C8E"/>
    <w:rsid w:val="67BC0D70"/>
    <w:rsid w:val="67C86E69"/>
    <w:rsid w:val="67E009BE"/>
    <w:rsid w:val="68062FB0"/>
    <w:rsid w:val="680E2F36"/>
    <w:rsid w:val="681650AF"/>
    <w:rsid w:val="6823490D"/>
    <w:rsid w:val="68501F2B"/>
    <w:rsid w:val="68593195"/>
    <w:rsid w:val="689F3367"/>
    <w:rsid w:val="68B100B2"/>
    <w:rsid w:val="68D777CC"/>
    <w:rsid w:val="68DF22DB"/>
    <w:rsid w:val="68F57053"/>
    <w:rsid w:val="69333973"/>
    <w:rsid w:val="693C7BA7"/>
    <w:rsid w:val="695D5F23"/>
    <w:rsid w:val="698A49E8"/>
    <w:rsid w:val="69D557A1"/>
    <w:rsid w:val="69EB2D1D"/>
    <w:rsid w:val="6A0B36E1"/>
    <w:rsid w:val="6A305AEE"/>
    <w:rsid w:val="6A5C2671"/>
    <w:rsid w:val="6A6F7AED"/>
    <w:rsid w:val="6AA162E3"/>
    <w:rsid w:val="6ACD377E"/>
    <w:rsid w:val="6AFA3943"/>
    <w:rsid w:val="6B1530B5"/>
    <w:rsid w:val="6B2804DA"/>
    <w:rsid w:val="6B9375F8"/>
    <w:rsid w:val="6B990BA2"/>
    <w:rsid w:val="6BA5412C"/>
    <w:rsid w:val="6BB4591A"/>
    <w:rsid w:val="6C123A56"/>
    <w:rsid w:val="6C186A79"/>
    <w:rsid w:val="6C4C74C3"/>
    <w:rsid w:val="6C5E10B6"/>
    <w:rsid w:val="6C9C1F6E"/>
    <w:rsid w:val="6CCC372E"/>
    <w:rsid w:val="6CD41B11"/>
    <w:rsid w:val="6CE8644B"/>
    <w:rsid w:val="6D3D2F38"/>
    <w:rsid w:val="6D8824CA"/>
    <w:rsid w:val="6DA57148"/>
    <w:rsid w:val="6DB11442"/>
    <w:rsid w:val="6DB676CB"/>
    <w:rsid w:val="6E10004B"/>
    <w:rsid w:val="6E133139"/>
    <w:rsid w:val="6E506467"/>
    <w:rsid w:val="6E544366"/>
    <w:rsid w:val="6E5A2A76"/>
    <w:rsid w:val="6E613F68"/>
    <w:rsid w:val="6E693F43"/>
    <w:rsid w:val="6E761835"/>
    <w:rsid w:val="6E866231"/>
    <w:rsid w:val="6E8D72AA"/>
    <w:rsid w:val="6EC83910"/>
    <w:rsid w:val="6ED444D7"/>
    <w:rsid w:val="6F0E4B5F"/>
    <w:rsid w:val="6F356418"/>
    <w:rsid w:val="6F580235"/>
    <w:rsid w:val="6F7239F2"/>
    <w:rsid w:val="6F812D7C"/>
    <w:rsid w:val="6F9D2CE1"/>
    <w:rsid w:val="6FCB56DF"/>
    <w:rsid w:val="7008678F"/>
    <w:rsid w:val="70161986"/>
    <w:rsid w:val="703531B4"/>
    <w:rsid w:val="707C289B"/>
    <w:rsid w:val="70A158FB"/>
    <w:rsid w:val="70D50BFB"/>
    <w:rsid w:val="70E37A92"/>
    <w:rsid w:val="71155335"/>
    <w:rsid w:val="711F61B4"/>
    <w:rsid w:val="71364564"/>
    <w:rsid w:val="714D7D5C"/>
    <w:rsid w:val="716770E4"/>
    <w:rsid w:val="71704C61"/>
    <w:rsid w:val="71940C37"/>
    <w:rsid w:val="71A82B1E"/>
    <w:rsid w:val="71B15494"/>
    <w:rsid w:val="71CC0C88"/>
    <w:rsid w:val="71D56CD1"/>
    <w:rsid w:val="71E441AF"/>
    <w:rsid w:val="71EB5CF6"/>
    <w:rsid w:val="71F851FA"/>
    <w:rsid w:val="72387701"/>
    <w:rsid w:val="72463D73"/>
    <w:rsid w:val="72515C6D"/>
    <w:rsid w:val="72846D7B"/>
    <w:rsid w:val="72951027"/>
    <w:rsid w:val="72AF12F2"/>
    <w:rsid w:val="72E72D01"/>
    <w:rsid w:val="72EB1CEC"/>
    <w:rsid w:val="72F35B4A"/>
    <w:rsid w:val="730B4C9D"/>
    <w:rsid w:val="730D5D09"/>
    <w:rsid w:val="734B3BB8"/>
    <w:rsid w:val="737D5D1B"/>
    <w:rsid w:val="73AE5A9B"/>
    <w:rsid w:val="73BE1E28"/>
    <w:rsid w:val="73E97858"/>
    <w:rsid w:val="73FB4CB6"/>
    <w:rsid w:val="73FF1540"/>
    <w:rsid w:val="7441150A"/>
    <w:rsid w:val="746463E0"/>
    <w:rsid w:val="74650381"/>
    <w:rsid w:val="74773B0E"/>
    <w:rsid w:val="7479267C"/>
    <w:rsid w:val="747A0287"/>
    <w:rsid w:val="74942A15"/>
    <w:rsid w:val="74B15375"/>
    <w:rsid w:val="74CC43BC"/>
    <w:rsid w:val="752B3A95"/>
    <w:rsid w:val="755A1AC0"/>
    <w:rsid w:val="75627DB4"/>
    <w:rsid w:val="7575140A"/>
    <w:rsid w:val="75A42E05"/>
    <w:rsid w:val="75CD75CA"/>
    <w:rsid w:val="75D00EB3"/>
    <w:rsid w:val="75DE663D"/>
    <w:rsid w:val="75E44BDD"/>
    <w:rsid w:val="75FD0B69"/>
    <w:rsid w:val="767A2591"/>
    <w:rsid w:val="76AF12BC"/>
    <w:rsid w:val="76C56D87"/>
    <w:rsid w:val="76D10C43"/>
    <w:rsid w:val="76D57A40"/>
    <w:rsid w:val="76DD06A3"/>
    <w:rsid w:val="76F40A4B"/>
    <w:rsid w:val="77121B3C"/>
    <w:rsid w:val="77330499"/>
    <w:rsid w:val="77835664"/>
    <w:rsid w:val="779251AE"/>
    <w:rsid w:val="77927B0C"/>
    <w:rsid w:val="779B623A"/>
    <w:rsid w:val="77A967D7"/>
    <w:rsid w:val="77D505FF"/>
    <w:rsid w:val="78496799"/>
    <w:rsid w:val="7873302B"/>
    <w:rsid w:val="78917997"/>
    <w:rsid w:val="78BB735E"/>
    <w:rsid w:val="78BE0E53"/>
    <w:rsid w:val="78E83CCF"/>
    <w:rsid w:val="78E97477"/>
    <w:rsid w:val="7911045C"/>
    <w:rsid w:val="79191148"/>
    <w:rsid w:val="791B146D"/>
    <w:rsid w:val="791C1D7D"/>
    <w:rsid w:val="79202826"/>
    <w:rsid w:val="79226841"/>
    <w:rsid w:val="795A4B55"/>
    <w:rsid w:val="79641101"/>
    <w:rsid w:val="79641812"/>
    <w:rsid w:val="7982570C"/>
    <w:rsid w:val="79A950F0"/>
    <w:rsid w:val="79B05914"/>
    <w:rsid w:val="79CB17D1"/>
    <w:rsid w:val="79F166CA"/>
    <w:rsid w:val="7A340F22"/>
    <w:rsid w:val="7A3A5E0C"/>
    <w:rsid w:val="7A74358D"/>
    <w:rsid w:val="7A830C11"/>
    <w:rsid w:val="7A893165"/>
    <w:rsid w:val="7ABB090D"/>
    <w:rsid w:val="7AC676A0"/>
    <w:rsid w:val="7AD16FB2"/>
    <w:rsid w:val="7ADA2664"/>
    <w:rsid w:val="7ADB29D4"/>
    <w:rsid w:val="7ADE2C3C"/>
    <w:rsid w:val="7AE44D08"/>
    <w:rsid w:val="7AF679AD"/>
    <w:rsid w:val="7B0E366D"/>
    <w:rsid w:val="7B2915B7"/>
    <w:rsid w:val="7BF226DD"/>
    <w:rsid w:val="7BF64AC1"/>
    <w:rsid w:val="7C10143F"/>
    <w:rsid w:val="7C1A2320"/>
    <w:rsid w:val="7C443A57"/>
    <w:rsid w:val="7C4D40ED"/>
    <w:rsid w:val="7C9D1B6C"/>
    <w:rsid w:val="7CCE3984"/>
    <w:rsid w:val="7CED7166"/>
    <w:rsid w:val="7CFC072C"/>
    <w:rsid w:val="7CFF078A"/>
    <w:rsid w:val="7D023813"/>
    <w:rsid w:val="7D3D00ED"/>
    <w:rsid w:val="7D585176"/>
    <w:rsid w:val="7D590442"/>
    <w:rsid w:val="7D6144BD"/>
    <w:rsid w:val="7D7201ED"/>
    <w:rsid w:val="7D804BCF"/>
    <w:rsid w:val="7D9D3C24"/>
    <w:rsid w:val="7DAE4601"/>
    <w:rsid w:val="7DBF3528"/>
    <w:rsid w:val="7DBF605A"/>
    <w:rsid w:val="7E29176A"/>
    <w:rsid w:val="7E8754BF"/>
    <w:rsid w:val="7E897574"/>
    <w:rsid w:val="7EAA55F1"/>
    <w:rsid w:val="7EC64112"/>
    <w:rsid w:val="7F293D25"/>
    <w:rsid w:val="7F355774"/>
    <w:rsid w:val="7F5B67C1"/>
    <w:rsid w:val="7F61513D"/>
    <w:rsid w:val="7FB64187"/>
    <w:rsid w:val="7FB86454"/>
    <w:rsid w:val="7FCF58D8"/>
    <w:rsid w:val="7FD6795A"/>
    <w:rsid w:val="7FED7CE0"/>
    <w:rsid w:val="7FF1341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snapToGrid w:val="0"/>
      <w:spacing w:line="360" w:lineRule="auto"/>
      <w:jc w:val="both"/>
    </w:pPr>
    <w:rPr>
      <w:rFonts w:ascii="宋体" w:hAnsi="宋体" w:eastAsia="宋体" w:cs="宋体"/>
      <w:kern w:val="2"/>
      <w:sz w:val="21"/>
      <w:szCs w:val="21"/>
      <w:lang w:val="en-US" w:eastAsia="zh-CN" w:bidi="ar-SA"/>
    </w:rPr>
  </w:style>
  <w:style w:type="paragraph" w:styleId="2">
    <w:name w:val="heading 1"/>
    <w:basedOn w:val="1"/>
    <w:next w:val="1"/>
    <w:autoRedefine/>
    <w:qFormat/>
    <w:uiPriority w:val="0"/>
    <w:pPr>
      <w:spacing w:before="50" w:beforeLines="50"/>
      <w:ind w:firstLine="0" w:firstLineChars="0"/>
      <w:jc w:val="center"/>
      <w:outlineLvl w:val="0"/>
    </w:pPr>
    <w:rPr>
      <w:b/>
      <w:sz w:val="28"/>
    </w:rPr>
  </w:style>
  <w:style w:type="paragraph" w:styleId="3">
    <w:name w:val="heading 2"/>
    <w:basedOn w:val="1"/>
    <w:next w:val="1"/>
    <w:link w:val="17"/>
    <w:autoRedefine/>
    <w:qFormat/>
    <w:uiPriority w:val="0"/>
    <w:pPr>
      <w:keepNext/>
      <w:keepLines/>
      <w:adjustRightInd w:val="0"/>
      <w:outlineLvl w:val="1"/>
    </w:pPr>
    <w:rPr>
      <w:rFonts w:ascii="宋体" w:hAnsi="宋体" w:eastAsia="宋体" w:cs="Arial"/>
      <w:b/>
      <w:bCs/>
      <w:szCs w:val="32"/>
    </w:rPr>
  </w:style>
  <w:style w:type="paragraph" w:styleId="4">
    <w:name w:val="heading 3"/>
    <w:basedOn w:val="1"/>
    <w:next w:val="1"/>
    <w:autoRedefine/>
    <w:qFormat/>
    <w:uiPriority w:val="0"/>
    <w:pPr>
      <w:keepNext/>
      <w:keepLines/>
      <w:adjustRightInd w:val="0"/>
      <w:spacing w:beforeLines="0" w:beforeAutospacing="0" w:afterLines="0" w:afterAutospacing="0" w:line="360" w:lineRule="auto"/>
      <w:ind w:left="0" w:leftChars="0"/>
      <w:jc w:val="left"/>
      <w:outlineLvl w:val="2"/>
    </w:pPr>
    <w:rPr>
      <w:rFonts w:ascii="宋体" w:hAnsi="宋体" w:eastAsia="宋体"/>
      <w:b/>
    </w:rPr>
  </w:style>
  <w:style w:type="paragraph" w:styleId="5">
    <w:name w:val="heading 4"/>
    <w:basedOn w:val="1"/>
    <w:next w:val="1"/>
    <w:autoRedefine/>
    <w:qFormat/>
    <w:uiPriority w:val="9"/>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autoRedefine/>
    <w:qFormat/>
    <w:uiPriority w:val="0"/>
    <w:pPr>
      <w:keepNext/>
      <w:keepLines/>
      <w:spacing w:before="280" w:after="290" w:line="376" w:lineRule="auto"/>
      <w:outlineLvl w:val="4"/>
    </w:pPr>
    <w:rPr>
      <w:b/>
      <w:bCs/>
      <w:sz w:val="28"/>
      <w:szCs w:val="28"/>
    </w:rPr>
  </w:style>
  <w:style w:type="paragraph" w:styleId="7">
    <w:name w:val="heading 6"/>
    <w:basedOn w:val="1"/>
    <w:next w:val="1"/>
    <w:autoRedefine/>
    <w:qFormat/>
    <w:uiPriority w:val="0"/>
    <w:pPr>
      <w:keepNext/>
      <w:keepLines/>
      <w:spacing w:before="240" w:after="64" w:line="320" w:lineRule="auto"/>
      <w:ind w:left="1152" w:hanging="1152"/>
      <w:outlineLvl w:val="5"/>
    </w:pPr>
    <w:rPr>
      <w:rFonts w:ascii="Cambria" w:hAnsi="Cambria"/>
      <w:b/>
      <w:bCs/>
      <w:sz w:val="24"/>
      <w:szCs w:val="24"/>
    </w:rPr>
  </w:style>
  <w:style w:type="character" w:default="1" w:styleId="16">
    <w:name w:val="Default Paragraph Font"/>
    <w:autoRedefine/>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8">
    <w:name w:val="toc 3"/>
    <w:basedOn w:val="1"/>
    <w:next w:val="1"/>
    <w:autoRedefine/>
    <w:qFormat/>
    <w:uiPriority w:val="0"/>
    <w:pPr>
      <w:ind w:left="840" w:leftChars="400"/>
    </w:pPr>
  </w:style>
  <w:style w:type="paragraph" w:styleId="9">
    <w:name w:val="footer"/>
    <w:basedOn w:val="1"/>
    <w:link w:val="18"/>
    <w:autoRedefine/>
    <w:qFormat/>
    <w:uiPriority w:val="99"/>
    <w:pPr>
      <w:tabs>
        <w:tab w:val="center" w:pos="4153"/>
        <w:tab w:val="right" w:pos="8306"/>
      </w:tabs>
      <w:snapToGrid w:val="0"/>
      <w:jc w:val="left"/>
    </w:pPr>
    <w:rPr>
      <w:sz w:val="18"/>
    </w:rPr>
  </w:style>
  <w:style w:type="paragraph" w:styleId="10">
    <w:name w:val="header"/>
    <w:basedOn w:val="1"/>
    <w:link w:val="19"/>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autoRedefine/>
    <w:qFormat/>
    <w:uiPriority w:val="0"/>
  </w:style>
  <w:style w:type="paragraph" w:styleId="12">
    <w:name w:val="toc 2"/>
    <w:basedOn w:val="1"/>
    <w:next w:val="1"/>
    <w:autoRedefine/>
    <w:qFormat/>
    <w:uiPriority w:val="0"/>
    <w:pPr>
      <w:ind w:left="420" w:leftChars="200"/>
    </w:p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
    <w:name w:val="标题 2 字符"/>
    <w:link w:val="3"/>
    <w:autoRedefine/>
    <w:qFormat/>
    <w:uiPriority w:val="0"/>
    <w:rPr>
      <w:rFonts w:ascii="宋体" w:hAnsi="宋体" w:eastAsia="宋体" w:cs="Arial"/>
      <w:b/>
      <w:bCs/>
      <w:kern w:val="2"/>
      <w:sz w:val="21"/>
      <w:szCs w:val="32"/>
    </w:rPr>
  </w:style>
  <w:style w:type="character" w:customStyle="1" w:styleId="18">
    <w:name w:val="页脚 字符"/>
    <w:link w:val="9"/>
    <w:autoRedefine/>
    <w:qFormat/>
    <w:uiPriority w:val="99"/>
    <w:rPr>
      <w:rFonts w:ascii="宋体" w:hAnsi="宋体" w:cs="宋体"/>
      <w:kern w:val="2"/>
      <w:sz w:val="18"/>
      <w:szCs w:val="21"/>
    </w:rPr>
  </w:style>
  <w:style w:type="character" w:customStyle="1" w:styleId="19">
    <w:name w:val="页眉 字符"/>
    <w:link w:val="10"/>
    <w:autoRedefine/>
    <w:qFormat/>
    <w:uiPriority w:val="99"/>
    <w:rPr>
      <w:rFonts w:ascii="宋体" w:hAnsi="宋体" w:cs="宋体"/>
      <w:kern w:val="2"/>
      <w:sz w:val="18"/>
      <w:szCs w:val="21"/>
    </w:rPr>
  </w:style>
  <w:style w:type="table" w:customStyle="1" w:styleId="20">
    <w:name w:val="Table Normal"/>
    <w:autoRedefine/>
    <w:unhideWhenUsed/>
    <w:qFormat/>
    <w:uiPriority w:val="0"/>
    <w:rPr>
      <w:lang w:val="en-US" w:eastAsia="zh-CN" w:bidi="ar-SA"/>
    </w:rPr>
    <w:tblPr>
      <w:tblCellMar>
        <w:top w:w="0" w:type="dxa"/>
        <w:left w:w="0" w:type="dxa"/>
        <w:bottom w:w="0" w:type="dxa"/>
        <w:right w:w="0" w:type="dxa"/>
      </w:tblCellMar>
    </w:tblPr>
  </w:style>
  <w:style w:type="table" w:customStyle="1" w:styleId="21">
    <w:name w:val="Table"/>
    <w:autoRedefine/>
    <w:unhideWhenUsed/>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WRGHO.COM</Company>
  <Pages>9</Pages>
  <Words>4313</Words>
  <Characters>4477</Characters>
  <Lines>456</Lines>
  <Paragraphs>128</Paragraphs>
  <TotalTime>18</TotalTime>
  <ScaleCrop>false</ScaleCrop>
  <LinksUpToDate>false</LinksUpToDate>
  <CharactersWithSpaces>4502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2022-07-21T09:23:00Z</dcterms:created>
  <dc:creator>jxl</dc:creator>
  <cp:lastModifiedBy>52~77</cp:lastModifiedBy>
  <cp:lastPrinted>2026-02-03T01:26:00Z</cp:lastPrinted>
  <dcterms:modified xsi:type="dcterms:W3CDTF">2026-09-24T07:23:35Z</dcterms:modified>
  <dc:title>采购文件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D75EDAAE49314BE69D594F65BFC8132E_13</vt:lpwstr>
  </property>
  <property fmtid="{D5CDD505-2E9C-101B-9397-08002B2CF9AE}" pid="4" name="commondata">
    <vt:lpwstr>eyJoZGlkIjoiZTkwMzJmOTk5MDg1Y2MxNjFmYzhmMzRkODE3ODE2Y2EifQ==</vt:lpwstr>
  </property>
  <property fmtid="{D5CDD505-2E9C-101B-9397-08002B2CF9AE}" pid="5" name="KSOTemplateDocerSaveRecord">
    <vt:lpwstr>eyJoZGlkIjoiNDJlZGQ3MTdkMmFlYTlmODdkYzAxMzU2YTBlYzhkYmIiLCJ1c2VySWQiOiIyNzk2NDk0MTMifQ==</vt:lpwstr>
  </property>
</Properties>
</file>